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2872"/>
        <w:gridCol w:w="6200"/>
      </w:tblGrid>
      <w:tr w:rsidR="009A7815" w:rsidRPr="00992862" w:rsidTr="00BB3B24">
        <w:trPr>
          <w:jc w:val="center"/>
        </w:trPr>
        <w:tc>
          <w:tcPr>
            <w:tcW w:w="2883" w:type="dxa"/>
          </w:tcPr>
          <w:p w:rsidR="009A7815" w:rsidRPr="00992862" w:rsidRDefault="009A7815" w:rsidP="00BB3B24">
            <w:pPr>
              <w:spacing w:after="0" w:line="240" w:lineRule="auto"/>
              <w:jc w:val="center"/>
              <w:rPr>
                <w:rFonts w:eastAsia="Times New Roman" w:cs="Times New Roman"/>
                <w:b/>
                <w:sz w:val="26"/>
                <w:szCs w:val="26"/>
                <w:lang w:val="pl-PL"/>
              </w:rPr>
            </w:pPr>
            <w:r w:rsidRPr="00992862">
              <w:rPr>
                <w:rFonts w:eastAsia="Times New Roman" w:cs="Times New Roman"/>
                <w:b/>
                <w:sz w:val="26"/>
                <w:szCs w:val="26"/>
                <w:lang w:val="pl-PL"/>
              </w:rPr>
              <w:t>UỶ BAN NHÂN DÂN</w:t>
            </w:r>
          </w:p>
          <w:p w:rsidR="009A7815" w:rsidRPr="00992862" w:rsidRDefault="009A7815" w:rsidP="00BB3B24">
            <w:pPr>
              <w:spacing w:after="0" w:line="240" w:lineRule="auto"/>
              <w:jc w:val="center"/>
              <w:rPr>
                <w:rFonts w:eastAsia="Times New Roman" w:cs="Times New Roman"/>
                <w:b/>
                <w:sz w:val="26"/>
                <w:szCs w:val="26"/>
                <w:lang w:val="pl-PL"/>
              </w:rPr>
            </w:pPr>
            <w:r w:rsidRPr="00992862">
              <w:rPr>
                <w:rFonts w:eastAsia="Times New Roman" w:cs="Times New Roman"/>
                <w:b/>
                <w:sz w:val="26"/>
                <w:szCs w:val="26"/>
                <w:lang w:val="pl-PL"/>
              </w:rPr>
              <w:t>TỈNH HÀ GIANG</w:t>
            </w:r>
          </w:p>
          <w:p w:rsidR="009A7815" w:rsidRPr="00992862" w:rsidRDefault="009A7815" w:rsidP="00BB3B24">
            <w:pPr>
              <w:spacing w:after="0" w:line="240" w:lineRule="auto"/>
              <w:jc w:val="center"/>
              <w:rPr>
                <w:rFonts w:eastAsia="Times New Roman" w:cs="Times New Roman"/>
                <w:sz w:val="26"/>
                <w:szCs w:val="26"/>
                <w:lang w:val="pl-PL"/>
              </w:rPr>
            </w:pPr>
            <w:r>
              <w:rPr>
                <w:rFonts w:asciiTheme="minorHAnsi" w:hAnsiTheme="minorHAnsi"/>
                <w:noProof/>
                <w:sz w:val="22"/>
              </w:rPr>
              <mc:AlternateContent>
                <mc:Choice Requires="wps">
                  <w:drawing>
                    <wp:anchor distT="4294967294" distB="4294967294" distL="114300" distR="114300" simplePos="0" relativeHeight="251659264" behindDoc="0" locked="0" layoutInCell="1" allowOverlap="1" wp14:anchorId="755322E9" wp14:editId="116F30EB">
                      <wp:simplePos x="0" y="0"/>
                      <wp:positionH relativeFrom="column">
                        <wp:posOffset>537210</wp:posOffset>
                      </wp:positionH>
                      <wp:positionV relativeFrom="paragraph">
                        <wp:posOffset>36829</wp:posOffset>
                      </wp:positionV>
                      <wp:extent cx="5524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D4018" id="_x0000_t32" coordsize="21600,21600" o:spt="32" o:oned="t" path="m,l21600,21600e" filled="f">
                      <v:path arrowok="t" fillok="f" o:connecttype="none"/>
                      <o:lock v:ext="edit" shapetype="t"/>
                    </v:shapetype>
                    <v:shape id="Straight Arrow Connector 10" o:spid="_x0000_s1026" type="#_x0000_t32" style="position:absolute;margin-left:42.3pt;margin-top:2.9pt;width:4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j+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"/>
                  </w:pict>
                </mc:Fallback>
              </mc:AlternateContent>
            </w:r>
          </w:p>
          <w:p w:rsidR="009A7815" w:rsidRPr="00992862" w:rsidRDefault="000B2944" w:rsidP="00BB3B24">
            <w:pPr>
              <w:spacing w:after="0" w:line="240" w:lineRule="auto"/>
              <w:jc w:val="center"/>
              <w:rPr>
                <w:rFonts w:eastAsia="Times New Roman" w:cs="Times New Roman"/>
                <w:sz w:val="26"/>
                <w:szCs w:val="26"/>
                <w:lang w:val="pl-PL"/>
              </w:rPr>
            </w:pPr>
            <w:r>
              <w:rPr>
                <w:rFonts w:eastAsia="Times New Roman" w:cs="Times New Roman"/>
                <w:sz w:val="26"/>
                <w:szCs w:val="26"/>
                <w:lang w:val="pl-PL"/>
              </w:rPr>
              <w:t>Số: 708</w:t>
            </w:r>
            <w:r w:rsidR="009A7815" w:rsidRPr="00992862">
              <w:rPr>
                <w:rFonts w:eastAsia="Times New Roman" w:cs="Times New Roman"/>
                <w:sz w:val="26"/>
                <w:szCs w:val="26"/>
                <w:lang w:val="pl-PL"/>
              </w:rPr>
              <w:t>/QĐ-UBND</w:t>
            </w:r>
          </w:p>
          <w:p w:rsidR="009A7815" w:rsidRPr="00992862" w:rsidRDefault="009A7815" w:rsidP="00BB3B24">
            <w:pPr>
              <w:spacing w:after="0" w:line="240" w:lineRule="auto"/>
              <w:jc w:val="center"/>
              <w:rPr>
                <w:rFonts w:eastAsia="Times New Roman" w:cs="Times New Roman"/>
                <w:szCs w:val="28"/>
                <w:lang w:val="pl-PL"/>
              </w:rPr>
            </w:pPr>
          </w:p>
        </w:tc>
        <w:tc>
          <w:tcPr>
            <w:tcW w:w="6234" w:type="dxa"/>
          </w:tcPr>
          <w:p w:rsidR="009A7815" w:rsidRPr="00992862" w:rsidRDefault="009A7815" w:rsidP="00BB3B24">
            <w:pPr>
              <w:spacing w:after="0" w:line="240" w:lineRule="auto"/>
              <w:jc w:val="center"/>
              <w:rPr>
                <w:rFonts w:eastAsia="Times New Roman" w:cs="Times New Roman"/>
                <w:b/>
                <w:sz w:val="26"/>
                <w:szCs w:val="26"/>
                <w:lang w:val="pl-PL"/>
              </w:rPr>
            </w:pPr>
            <w:r w:rsidRPr="00992862">
              <w:rPr>
                <w:rFonts w:eastAsia="Times New Roman" w:cs="Times New Roman"/>
                <w:b/>
                <w:sz w:val="26"/>
                <w:szCs w:val="26"/>
                <w:lang w:val="pl-PL"/>
              </w:rPr>
              <w:t>CỘNG HÒA XÃ HỘI CHỦ NGHĨA VIỆT NAM</w:t>
            </w:r>
          </w:p>
          <w:p w:rsidR="009A7815" w:rsidRPr="00992862" w:rsidRDefault="009A7815" w:rsidP="00BB3B24">
            <w:pPr>
              <w:spacing w:after="0" w:line="240" w:lineRule="auto"/>
              <w:jc w:val="center"/>
              <w:rPr>
                <w:rFonts w:eastAsia="Times New Roman" w:cs="Times New Roman"/>
                <w:b/>
                <w:szCs w:val="28"/>
                <w:lang w:val="pl-PL"/>
              </w:rPr>
            </w:pPr>
            <w:r>
              <w:rPr>
                <w:rFonts w:asciiTheme="minorHAnsi" w:hAnsiTheme="minorHAnsi"/>
                <w:noProof/>
                <w:sz w:val="22"/>
              </w:rPr>
              <mc:AlternateContent>
                <mc:Choice Requires="wps">
                  <w:drawing>
                    <wp:anchor distT="4294967294" distB="4294967294" distL="114300" distR="114300" simplePos="0" relativeHeight="251660288" behindDoc="0" locked="0" layoutInCell="1" allowOverlap="1" wp14:anchorId="71B46CFA" wp14:editId="31C5A935">
                      <wp:simplePos x="0" y="0"/>
                      <wp:positionH relativeFrom="column">
                        <wp:posOffset>806133</wp:posOffset>
                      </wp:positionH>
                      <wp:positionV relativeFrom="paragraph">
                        <wp:posOffset>197485</wp:posOffset>
                      </wp:positionV>
                      <wp:extent cx="2160000" cy="0"/>
                      <wp:effectExtent l="0" t="0" r="311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37A2A" id="_x0000_t32" coordsize="21600,21600" o:spt="32" o:oned="t" path="m,l21600,21600e" filled="f">
                      <v:path arrowok="t" fillok="f" o:connecttype="none"/>
                      <o:lock v:ext="edit" shapetype="t"/>
                    </v:shapetype>
                    <v:shape id="Straight Arrow Connector 9" o:spid="_x0000_s1026" type="#_x0000_t32" style="position:absolute;margin-left:63.5pt;margin-top:15.55pt;width:170.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u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"/>
                  </w:pict>
                </mc:Fallback>
              </mc:AlternateContent>
            </w:r>
            <w:r w:rsidRPr="00992862">
              <w:rPr>
                <w:rFonts w:eastAsia="Times New Roman" w:cs="Times New Roman"/>
                <w:b/>
                <w:szCs w:val="28"/>
                <w:lang w:val="pl-PL"/>
              </w:rPr>
              <w:t>Độc lập - Tự do - Hạnh phúc</w:t>
            </w:r>
          </w:p>
          <w:p w:rsidR="009A7815" w:rsidRPr="00992862" w:rsidRDefault="009A7815" w:rsidP="00BB3B24">
            <w:pPr>
              <w:spacing w:after="0" w:line="240" w:lineRule="auto"/>
              <w:jc w:val="center"/>
              <w:rPr>
                <w:rFonts w:eastAsia="Times New Roman" w:cs="Times New Roman"/>
                <w:szCs w:val="28"/>
                <w:lang w:val="pl-PL"/>
              </w:rPr>
            </w:pPr>
          </w:p>
          <w:p w:rsidR="009A7815" w:rsidRPr="00992862" w:rsidRDefault="009A7815" w:rsidP="000B2944">
            <w:pPr>
              <w:spacing w:after="0" w:line="240" w:lineRule="auto"/>
              <w:jc w:val="center"/>
              <w:rPr>
                <w:rFonts w:eastAsia="Times New Roman" w:cs="Times New Roman"/>
                <w:i/>
                <w:szCs w:val="28"/>
                <w:lang w:val="pl-PL"/>
              </w:rPr>
            </w:pPr>
            <w:r w:rsidRPr="00992862">
              <w:rPr>
                <w:rFonts w:eastAsia="Times New Roman" w:cs="Times New Roman"/>
                <w:i/>
                <w:szCs w:val="28"/>
                <w:lang w:val="pl-PL"/>
              </w:rPr>
              <w:t>Hà Giang</w:t>
            </w:r>
            <w:r w:rsidR="000B2944">
              <w:rPr>
                <w:rFonts w:eastAsia="Times New Roman" w:cs="Times New Roman"/>
                <w:i/>
                <w:szCs w:val="28"/>
                <w:lang w:val="vi-VN"/>
              </w:rPr>
              <w:t xml:space="preserve">, ngày </w:t>
            </w:r>
            <w:r w:rsidR="000B2944">
              <w:rPr>
                <w:rFonts w:eastAsia="Times New Roman" w:cs="Times New Roman"/>
                <w:i/>
                <w:szCs w:val="28"/>
              </w:rPr>
              <w:t>07</w:t>
            </w:r>
            <w:r w:rsidRPr="00992862">
              <w:rPr>
                <w:rFonts w:eastAsia="Times New Roman" w:cs="Times New Roman"/>
                <w:i/>
                <w:szCs w:val="28"/>
                <w:lang w:val="vi-VN"/>
              </w:rPr>
              <w:t xml:space="preserve">  tháng  </w:t>
            </w:r>
            <w:r w:rsidR="000B2944">
              <w:rPr>
                <w:rFonts w:eastAsia="Times New Roman" w:cs="Times New Roman"/>
                <w:i/>
                <w:szCs w:val="28"/>
              </w:rPr>
              <w:t>4</w:t>
            </w:r>
            <w:r>
              <w:rPr>
                <w:rFonts w:eastAsia="Times New Roman" w:cs="Times New Roman"/>
                <w:i/>
                <w:szCs w:val="28"/>
              </w:rPr>
              <w:t xml:space="preserve"> </w:t>
            </w:r>
            <w:r w:rsidRPr="00992862">
              <w:rPr>
                <w:rFonts w:eastAsia="Times New Roman" w:cs="Times New Roman"/>
                <w:i/>
                <w:szCs w:val="28"/>
                <w:lang w:val="vi-VN"/>
              </w:rPr>
              <w:t xml:space="preserve"> năm</w:t>
            </w:r>
            <w:r w:rsidRPr="00992862">
              <w:rPr>
                <w:rFonts w:eastAsia="Times New Roman" w:cs="Times New Roman"/>
                <w:i/>
                <w:szCs w:val="28"/>
              </w:rPr>
              <w:t xml:space="preserve"> 2021</w:t>
            </w:r>
            <w:r w:rsidRPr="00992862">
              <w:rPr>
                <w:rFonts w:eastAsia="Times New Roman" w:cs="Times New Roman"/>
                <w:i/>
                <w:szCs w:val="28"/>
                <w:lang w:val="vi-VN"/>
              </w:rPr>
              <w:t xml:space="preserve"> </w:t>
            </w:r>
          </w:p>
        </w:tc>
      </w:tr>
    </w:tbl>
    <w:p w:rsidR="009A7815" w:rsidRPr="00992862" w:rsidRDefault="009A7815" w:rsidP="009A7815">
      <w:pPr>
        <w:spacing w:after="0" w:line="240" w:lineRule="auto"/>
        <w:jc w:val="center"/>
        <w:rPr>
          <w:rFonts w:eastAsia="Times New Roman" w:cs="Times New Roman"/>
          <w:b/>
          <w:szCs w:val="28"/>
          <w:lang w:val="vi-VN"/>
        </w:rPr>
      </w:pPr>
      <w:r w:rsidRPr="00992862">
        <w:rPr>
          <w:rFonts w:eastAsia="Times New Roman" w:cs="Times New Roman"/>
          <w:b/>
          <w:szCs w:val="28"/>
          <w:lang w:val="vi-VN"/>
        </w:rPr>
        <w:t>QUYẾT ĐỊNH</w:t>
      </w:r>
    </w:p>
    <w:p w:rsidR="009A7815" w:rsidRPr="00992862" w:rsidRDefault="009A7815" w:rsidP="009A7815">
      <w:pPr>
        <w:spacing w:after="0" w:line="240" w:lineRule="auto"/>
        <w:jc w:val="center"/>
        <w:rPr>
          <w:rFonts w:eastAsia="Times New Roman" w:cs="Times New Roman"/>
          <w:b/>
          <w:szCs w:val="28"/>
        </w:rPr>
      </w:pPr>
      <w:r w:rsidRPr="00992862">
        <w:rPr>
          <w:rFonts w:eastAsia="Times New Roman" w:cs="Times New Roman"/>
          <w:b/>
          <w:szCs w:val="28"/>
          <w:lang w:val="vi-VN"/>
        </w:rPr>
        <w:t xml:space="preserve">Về việc công bố thủ tục hành chính của ngành </w:t>
      </w:r>
    </w:p>
    <w:p w:rsidR="009A7815" w:rsidRPr="00992862" w:rsidRDefault="00A200C1" w:rsidP="009A7815">
      <w:pPr>
        <w:spacing w:after="0" w:line="240" w:lineRule="auto"/>
        <w:jc w:val="center"/>
        <w:rPr>
          <w:rFonts w:eastAsia="Times New Roman" w:cs="Times New Roman"/>
          <w:b/>
          <w:szCs w:val="28"/>
          <w:lang w:val="vi-VN"/>
        </w:rPr>
      </w:pPr>
      <w:r>
        <w:rPr>
          <w:rFonts w:eastAsia="Times New Roman" w:cs="Times New Roman"/>
          <w:b/>
          <w:szCs w:val="28"/>
        </w:rPr>
        <w:t>Tài nguyên và Môi trường</w:t>
      </w:r>
      <w:r w:rsidR="00BB3B24">
        <w:rPr>
          <w:rFonts w:eastAsia="Times New Roman" w:cs="Times New Roman"/>
          <w:b/>
          <w:szCs w:val="28"/>
        </w:rPr>
        <w:t xml:space="preserve"> </w:t>
      </w:r>
      <w:r w:rsidR="009A7815" w:rsidRPr="00992862">
        <w:rPr>
          <w:rFonts w:eastAsia="Times New Roman" w:cs="Times New Roman"/>
          <w:b/>
          <w:szCs w:val="28"/>
        </w:rPr>
        <w:t>á</w:t>
      </w:r>
      <w:r w:rsidR="009A7815" w:rsidRPr="00992862">
        <w:rPr>
          <w:rFonts w:eastAsia="Times New Roman" w:cs="Times New Roman"/>
          <w:b/>
          <w:szCs w:val="28"/>
          <w:lang w:val="vi-VN"/>
        </w:rPr>
        <w:t>p dụng trên địa bàn tỉnh Hà Giang</w:t>
      </w:r>
    </w:p>
    <w:p w:rsidR="009A7815" w:rsidRPr="00992862" w:rsidRDefault="009A7815" w:rsidP="009A7815">
      <w:pPr>
        <w:spacing w:before="360" w:after="360" w:line="240" w:lineRule="auto"/>
        <w:jc w:val="center"/>
        <w:rPr>
          <w:rFonts w:eastAsia="Times New Roman" w:cs="Times New Roman"/>
          <w:b/>
          <w:szCs w:val="28"/>
        </w:rPr>
      </w:pPr>
      <w:r>
        <w:rPr>
          <w:rFonts w:asciiTheme="minorHAnsi" w:hAnsiTheme="minorHAnsi"/>
          <w:noProof/>
          <w:sz w:val="22"/>
        </w:rPr>
        <mc:AlternateContent>
          <mc:Choice Requires="wps">
            <w:drawing>
              <wp:anchor distT="4294967295" distB="4294967295" distL="114300" distR="114300" simplePos="0" relativeHeight="251661312" behindDoc="0" locked="0" layoutInCell="1" allowOverlap="1" wp14:anchorId="06F92FCC" wp14:editId="20AB5AE9">
                <wp:simplePos x="0" y="0"/>
                <wp:positionH relativeFrom="column">
                  <wp:posOffset>2082165</wp:posOffset>
                </wp:positionH>
                <wp:positionV relativeFrom="paragraph">
                  <wp:posOffset>-1906</wp:posOffset>
                </wp:positionV>
                <wp:extent cx="167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B3A02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95pt,-.15pt" to="29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" strokecolor="windowText">
                <o:lock v:ext="edit" shapetype="f"/>
              </v:line>
            </w:pict>
          </mc:Fallback>
        </mc:AlternateContent>
      </w:r>
      <w:r w:rsidRPr="00992862">
        <w:rPr>
          <w:rFonts w:eastAsia="Times New Roman" w:cs="Times New Roman"/>
          <w:b/>
          <w:szCs w:val="28"/>
          <w:lang w:val="vi-VN"/>
        </w:rPr>
        <w:t>CHỦ TỊCH ỦY BAN NHÂN DÂN TỈNH HÀ GIANG</w:t>
      </w:r>
    </w:p>
    <w:p w:rsidR="009A7815" w:rsidRPr="00992862" w:rsidRDefault="009A7815" w:rsidP="008A088D">
      <w:pPr>
        <w:spacing w:before="60" w:after="0" w:line="240" w:lineRule="auto"/>
        <w:ind w:firstLine="720"/>
        <w:jc w:val="both"/>
        <w:rPr>
          <w:rFonts w:eastAsia="Times New Roman" w:cs="Times New Roman"/>
          <w:i/>
          <w:spacing w:val="-4"/>
          <w:szCs w:val="28"/>
        </w:rPr>
      </w:pPr>
      <w:r w:rsidRPr="00992862">
        <w:rPr>
          <w:rFonts w:eastAsia="Times New Roman" w:cs="Times New Roman"/>
          <w:i/>
          <w:spacing w:val="-4"/>
          <w:szCs w:val="28"/>
        </w:rPr>
        <w:t>Căn cứ Luật Tổ chức Chính quyền địa phương ngày 19 tháng 6 năm 2015</w:t>
      </w:r>
      <w:r w:rsidR="00CE1D68">
        <w:rPr>
          <w:rFonts w:eastAsia="Times New Roman" w:cs="Times New Roman"/>
          <w:i/>
          <w:spacing w:val="-4"/>
          <w:szCs w:val="28"/>
        </w:rPr>
        <w:t xml:space="preserve"> (</w:t>
      </w:r>
      <w:r w:rsidR="00CE1D68" w:rsidRPr="00992862">
        <w:rPr>
          <w:rFonts w:eastAsia="Times New Roman" w:cs="Times New Roman"/>
          <w:i/>
          <w:szCs w:val="28"/>
        </w:rPr>
        <w:t>đã được sửa đổi, bổ sung bởi</w:t>
      </w:r>
      <w:r w:rsidR="00E5579A">
        <w:rPr>
          <w:rFonts w:eastAsia="Times New Roman" w:cs="Times New Roman"/>
          <w:i/>
          <w:szCs w:val="28"/>
        </w:rPr>
        <w:t xml:space="preserve"> Luật sửa đổi, bổ sung </w:t>
      </w:r>
      <w:bookmarkStart w:id="0" w:name="_GoBack"/>
      <w:bookmarkEnd w:id="0"/>
      <w:r w:rsidR="00E5579A">
        <w:rPr>
          <w:rFonts w:eastAsia="Times New Roman" w:cs="Times New Roman"/>
          <w:i/>
          <w:szCs w:val="28"/>
        </w:rPr>
        <w:t>một số điều của Luật Tổ chức Chính phủ và Luật Tổ chức</w:t>
      </w:r>
      <w:r w:rsidR="008A088D">
        <w:rPr>
          <w:rFonts w:eastAsia="Times New Roman" w:cs="Times New Roman"/>
          <w:i/>
          <w:szCs w:val="28"/>
        </w:rPr>
        <w:t xml:space="preserve"> Chính quyền địa phương ngày 22 tháng 11</w:t>
      </w:r>
      <w:r w:rsidR="008A088D" w:rsidRPr="008A088D">
        <w:rPr>
          <w:rFonts w:eastAsia="Times New Roman" w:cs="Times New Roman"/>
          <w:i/>
          <w:szCs w:val="28"/>
        </w:rPr>
        <w:t xml:space="preserve"> năm 201</w:t>
      </w:r>
      <w:r w:rsidR="008A088D">
        <w:rPr>
          <w:rFonts w:eastAsia="Times New Roman" w:cs="Times New Roman"/>
          <w:i/>
          <w:szCs w:val="28"/>
        </w:rPr>
        <w:t>9)</w:t>
      </w:r>
      <w:r w:rsidRPr="00992862">
        <w:rPr>
          <w:rFonts w:eastAsia="Times New Roman" w:cs="Times New Roman"/>
          <w:i/>
          <w:spacing w:val="-4"/>
          <w:szCs w:val="28"/>
        </w:rPr>
        <w:t>;</w:t>
      </w:r>
    </w:p>
    <w:p w:rsidR="009A7815" w:rsidRPr="00992862" w:rsidRDefault="009A7815" w:rsidP="008A088D">
      <w:pPr>
        <w:spacing w:before="60" w:after="0" w:line="240" w:lineRule="auto"/>
        <w:ind w:firstLine="720"/>
        <w:jc w:val="both"/>
        <w:rPr>
          <w:rFonts w:eastAsia="Times New Roman" w:cs="Times New Roman"/>
          <w:i/>
          <w:szCs w:val="28"/>
        </w:rPr>
      </w:pPr>
      <w:r w:rsidRPr="00992862">
        <w:rPr>
          <w:rFonts w:eastAsia="Times New Roman" w:cs="Times New Roman"/>
          <w:i/>
          <w:szCs w:val="28"/>
        </w:rPr>
        <w:t>Căn cứ Nghị định số 63/2010/NĐ-CP ngày 08 tháng 6 năm 2010 của Chính phủ về kiểm soát thủ tục hành chính (đã được sửa đổi, bổ sung bởi Nghị định số 92/2017/NĐ-CP ngày 07 tháng 8 năm 2017 của Chính phủ); Nghị định số 61/2018/NĐ-CP ngày 23 tháng 4 năm 2018 của Chính phủ về thực hiện cơ chế một cửa, một cửa liên thông trong giải quyết thủ tục hành chính; Nghị định số 45/2020/NĐ-CP ngày 08 tháng 4 năm 2020 của Chính phủ về thực hiện TTHC trên môi trường điện tử;</w:t>
      </w:r>
    </w:p>
    <w:p w:rsidR="009A7815" w:rsidRPr="00992862" w:rsidRDefault="009A7815" w:rsidP="008A088D">
      <w:pPr>
        <w:spacing w:before="60" w:after="0" w:line="240" w:lineRule="auto"/>
        <w:ind w:firstLine="720"/>
        <w:jc w:val="both"/>
        <w:rPr>
          <w:rFonts w:eastAsia="Times New Roman" w:cs="Times New Roman"/>
          <w:i/>
          <w:szCs w:val="28"/>
        </w:rPr>
      </w:pPr>
      <w:r w:rsidRPr="00992862">
        <w:rPr>
          <w:rFonts w:eastAsia="Times New Roman" w:cs="Times New Roman"/>
          <w:i/>
          <w:szCs w:val="28"/>
        </w:rPr>
        <w:t xml:space="preserve">Theo đề nghị của Chánh Văn phòng UBND tỉnh và Giám đốc Sở </w:t>
      </w:r>
      <w:r w:rsidR="00A200C1">
        <w:rPr>
          <w:rFonts w:eastAsia="Times New Roman" w:cs="Times New Roman"/>
          <w:i/>
          <w:szCs w:val="28"/>
        </w:rPr>
        <w:t>Tài nguyên và Môi trường</w:t>
      </w:r>
      <w:r w:rsidR="00BB3B24">
        <w:rPr>
          <w:rFonts w:eastAsia="Times New Roman" w:cs="Times New Roman"/>
          <w:i/>
          <w:szCs w:val="28"/>
        </w:rPr>
        <w:t xml:space="preserve"> </w:t>
      </w:r>
      <w:r w:rsidRPr="00992862">
        <w:rPr>
          <w:rFonts w:eastAsia="Times New Roman" w:cs="Times New Roman"/>
          <w:i/>
          <w:szCs w:val="28"/>
        </w:rPr>
        <w:t>tỉnh Hà Giang.</w:t>
      </w:r>
    </w:p>
    <w:p w:rsidR="009A7815" w:rsidRPr="00992862" w:rsidRDefault="009A7815" w:rsidP="009A7815">
      <w:pPr>
        <w:spacing w:before="240" w:after="240" w:line="240" w:lineRule="auto"/>
        <w:jc w:val="center"/>
        <w:rPr>
          <w:rFonts w:eastAsia="Times New Roman" w:cs="Times New Roman"/>
          <w:b/>
          <w:szCs w:val="28"/>
          <w:lang w:val="vi-VN"/>
        </w:rPr>
      </w:pPr>
      <w:r w:rsidRPr="00992862">
        <w:rPr>
          <w:rFonts w:eastAsia="Times New Roman" w:cs="Times New Roman"/>
          <w:b/>
          <w:szCs w:val="28"/>
          <w:lang w:val="vi-VN"/>
        </w:rPr>
        <w:t>QUYẾT ĐỊNH:</w:t>
      </w:r>
    </w:p>
    <w:p w:rsidR="009A7815" w:rsidRPr="00992862" w:rsidRDefault="009A7815" w:rsidP="009B1A1F">
      <w:pPr>
        <w:spacing w:before="60" w:after="0" w:line="240" w:lineRule="auto"/>
        <w:jc w:val="both"/>
        <w:rPr>
          <w:rFonts w:eastAsia="Times New Roman" w:cs="Times New Roman"/>
          <w:spacing w:val="-4"/>
          <w:szCs w:val="28"/>
        </w:rPr>
      </w:pPr>
      <w:r w:rsidRPr="00992862">
        <w:rPr>
          <w:rFonts w:eastAsia="Times New Roman" w:cs="Times New Roman"/>
          <w:b/>
          <w:bCs/>
          <w:spacing w:val="-4"/>
          <w:szCs w:val="28"/>
        </w:rPr>
        <w:tab/>
      </w:r>
      <w:r w:rsidRPr="00992862">
        <w:rPr>
          <w:rFonts w:eastAsia="Times New Roman" w:cs="Times New Roman"/>
          <w:b/>
          <w:bCs/>
          <w:spacing w:val="-4"/>
          <w:szCs w:val="28"/>
          <w:lang w:val="vi-VN"/>
        </w:rPr>
        <w:t>Điều 1</w:t>
      </w:r>
      <w:r w:rsidRPr="00992862">
        <w:rPr>
          <w:rFonts w:eastAsia="Times New Roman" w:cs="Times New Roman"/>
          <w:spacing w:val="-4"/>
          <w:szCs w:val="28"/>
          <w:lang w:val="vi-VN"/>
        </w:rPr>
        <w:t>. Công bố kèm theo Quyết định này</w:t>
      </w:r>
      <w:r w:rsidR="00BB3B24">
        <w:rPr>
          <w:rFonts w:eastAsia="Times New Roman" w:cs="Times New Roman"/>
          <w:spacing w:val="-4"/>
          <w:szCs w:val="28"/>
        </w:rPr>
        <w:t xml:space="preserve"> </w:t>
      </w:r>
      <w:r w:rsidR="00FF45C0">
        <w:rPr>
          <w:rFonts w:eastAsia="Times New Roman" w:cs="Times New Roman"/>
          <w:spacing w:val="-4"/>
          <w:szCs w:val="28"/>
        </w:rPr>
        <w:t xml:space="preserve">119 </w:t>
      </w:r>
      <w:r w:rsidRPr="00992862">
        <w:rPr>
          <w:rFonts w:eastAsia="Times New Roman" w:cs="Times New Roman"/>
          <w:spacing w:val="-4"/>
          <w:szCs w:val="28"/>
          <w:lang w:val="vi-VN"/>
        </w:rPr>
        <w:t xml:space="preserve">thủ tục hành chính của ngành </w:t>
      </w:r>
      <w:r w:rsidR="00A200C1">
        <w:rPr>
          <w:rFonts w:eastAsia="Times New Roman" w:cs="Times New Roman"/>
          <w:spacing w:val="-4"/>
          <w:szCs w:val="28"/>
          <w:lang w:val="vi-VN"/>
        </w:rPr>
        <w:t>Tài nguyên và Môi trường</w:t>
      </w:r>
      <w:r w:rsidR="00BB3B24">
        <w:rPr>
          <w:rFonts w:eastAsia="Times New Roman" w:cs="Times New Roman"/>
          <w:spacing w:val="-4"/>
          <w:szCs w:val="28"/>
          <w:lang w:val="vi-VN"/>
        </w:rPr>
        <w:t xml:space="preserve"> </w:t>
      </w:r>
      <w:r w:rsidRPr="00992862">
        <w:rPr>
          <w:rFonts w:eastAsia="Times New Roman" w:cs="Times New Roman"/>
          <w:spacing w:val="-4"/>
          <w:szCs w:val="28"/>
          <w:lang w:val="vi-VN"/>
        </w:rPr>
        <w:t>áp dụng trên địa bàn tỉnh Hà Giang (Có nội dung kèm theo).</w:t>
      </w:r>
    </w:p>
    <w:p w:rsidR="00234EB6" w:rsidRPr="00D93269" w:rsidRDefault="009A7815" w:rsidP="009B1A1F">
      <w:pPr>
        <w:spacing w:before="60" w:after="0" w:line="240" w:lineRule="auto"/>
        <w:jc w:val="both"/>
        <w:rPr>
          <w:rFonts w:eastAsia="Times New Roman" w:cs="Times New Roman"/>
          <w:szCs w:val="28"/>
          <w:shd w:val="clear" w:color="auto" w:fill="FFFFFF"/>
        </w:rPr>
      </w:pPr>
      <w:r w:rsidRPr="00992862">
        <w:rPr>
          <w:rFonts w:eastAsia="Times New Roman" w:cs="Times New Roman"/>
          <w:spacing w:val="-4"/>
          <w:szCs w:val="28"/>
        </w:rPr>
        <w:tab/>
      </w:r>
      <w:r w:rsidRPr="00992862">
        <w:rPr>
          <w:rFonts w:eastAsia="Times New Roman" w:cs="Times New Roman"/>
          <w:b/>
          <w:bCs/>
          <w:szCs w:val="28"/>
          <w:lang w:val="vi-VN"/>
        </w:rPr>
        <w:t>Điều 2</w:t>
      </w:r>
      <w:r w:rsidRPr="00992862">
        <w:rPr>
          <w:rFonts w:eastAsia="Times New Roman" w:cs="Times New Roman"/>
          <w:szCs w:val="28"/>
          <w:lang w:val="vi-VN"/>
        </w:rPr>
        <w:t>.</w:t>
      </w:r>
      <w:r w:rsidRPr="00992862">
        <w:rPr>
          <w:rFonts w:eastAsia="Times New Roman" w:cs="Times New Roman"/>
          <w:szCs w:val="28"/>
        </w:rPr>
        <w:t xml:space="preserve"> </w:t>
      </w:r>
      <w:r w:rsidRPr="00992862">
        <w:rPr>
          <w:rFonts w:eastAsia="Times New Roman" w:cs="Times New Roman"/>
          <w:szCs w:val="28"/>
          <w:shd w:val="clear" w:color="auto" w:fill="FFFFFF"/>
        </w:rPr>
        <w:t xml:space="preserve">Quyết định này có hiệu lực </w:t>
      </w:r>
      <w:r w:rsidR="00D95DF6">
        <w:rPr>
          <w:rFonts w:eastAsia="Times New Roman" w:cs="Times New Roman"/>
          <w:szCs w:val="28"/>
          <w:shd w:val="clear" w:color="auto" w:fill="FFFFFF"/>
        </w:rPr>
        <w:t xml:space="preserve">thi hành kể </w:t>
      </w:r>
      <w:r w:rsidR="00D62304">
        <w:rPr>
          <w:rFonts w:eastAsia="Times New Roman" w:cs="Times New Roman"/>
          <w:szCs w:val="28"/>
          <w:shd w:val="clear" w:color="auto" w:fill="FFFFFF"/>
        </w:rPr>
        <w:t xml:space="preserve">từ ngày ký ban hành và thay thế </w:t>
      </w:r>
      <w:r w:rsidR="00792E5E">
        <w:rPr>
          <w:rFonts w:eastAsia="Times New Roman" w:cs="Times New Roman"/>
          <w:szCs w:val="28"/>
          <w:shd w:val="clear" w:color="auto" w:fill="FFFFFF"/>
        </w:rPr>
        <w:t>Quyết định số 516</w:t>
      </w:r>
      <w:r w:rsidRPr="00D93269">
        <w:rPr>
          <w:rFonts w:eastAsia="Times New Roman" w:cs="Times New Roman"/>
          <w:szCs w:val="28"/>
          <w:shd w:val="clear" w:color="auto" w:fill="FFFFFF"/>
        </w:rPr>
        <w:t>/QĐ-</w:t>
      </w:r>
      <w:r w:rsidR="00792E5E">
        <w:rPr>
          <w:rFonts w:eastAsia="Times New Roman" w:cs="Times New Roman"/>
          <w:szCs w:val="28"/>
          <w:shd w:val="clear" w:color="auto" w:fill="FFFFFF"/>
        </w:rPr>
        <w:t>UBND ngày 09/4</w:t>
      </w:r>
      <w:r w:rsidRPr="00D93269">
        <w:rPr>
          <w:rFonts w:eastAsia="Times New Roman" w:cs="Times New Roman"/>
          <w:szCs w:val="28"/>
          <w:shd w:val="clear" w:color="auto" w:fill="FFFFFF"/>
        </w:rPr>
        <w:t>/2020</w:t>
      </w:r>
      <w:r w:rsidR="00D95DF6">
        <w:rPr>
          <w:rFonts w:eastAsia="Times New Roman" w:cs="Times New Roman"/>
          <w:szCs w:val="28"/>
          <w:shd w:val="clear" w:color="auto" w:fill="FFFFFF"/>
        </w:rPr>
        <w:t xml:space="preserve">, </w:t>
      </w:r>
      <w:r w:rsidR="00792E5E">
        <w:rPr>
          <w:rFonts w:eastAsia="Times New Roman" w:cs="Times New Roman"/>
          <w:szCs w:val="28"/>
          <w:shd w:val="clear" w:color="auto" w:fill="FFFFFF"/>
        </w:rPr>
        <w:t>Quyết định số 938</w:t>
      </w:r>
      <w:r w:rsidR="00D95DF6">
        <w:rPr>
          <w:rFonts w:eastAsia="Times New Roman" w:cs="Times New Roman"/>
          <w:szCs w:val="28"/>
          <w:shd w:val="clear" w:color="auto" w:fill="FFFFFF"/>
        </w:rPr>
        <w:t>/QĐ-UBND ng</w:t>
      </w:r>
      <w:r w:rsidR="009B5F14">
        <w:rPr>
          <w:rFonts w:eastAsia="Times New Roman" w:cs="Times New Roman"/>
          <w:szCs w:val="28"/>
          <w:shd w:val="clear" w:color="auto" w:fill="FFFFFF"/>
        </w:rPr>
        <w:t>ày 19/6</w:t>
      </w:r>
      <w:r w:rsidR="00D95DF6">
        <w:rPr>
          <w:rFonts w:eastAsia="Times New Roman" w:cs="Times New Roman"/>
          <w:szCs w:val="28"/>
          <w:shd w:val="clear" w:color="auto" w:fill="FFFFFF"/>
        </w:rPr>
        <w:t xml:space="preserve">/2020, </w:t>
      </w:r>
      <w:r w:rsidR="009B5F14">
        <w:rPr>
          <w:rFonts w:eastAsia="Times New Roman" w:cs="Times New Roman"/>
          <w:szCs w:val="28"/>
          <w:shd w:val="clear" w:color="auto" w:fill="FFFFFF"/>
        </w:rPr>
        <w:t>Quyết định số 1574/QĐ-UBND ngày 08/9</w:t>
      </w:r>
      <w:r w:rsidR="00234EB6" w:rsidRPr="00D93269">
        <w:rPr>
          <w:rFonts w:eastAsia="Times New Roman" w:cs="Times New Roman"/>
          <w:szCs w:val="28"/>
          <w:shd w:val="clear" w:color="auto" w:fill="FFFFFF"/>
        </w:rPr>
        <w:t>/2020 của Chủ tịch UBND tỉnh Hà Giang.</w:t>
      </w:r>
    </w:p>
    <w:p w:rsidR="009A7815" w:rsidRPr="00992862" w:rsidRDefault="009A7815" w:rsidP="009B1A1F">
      <w:pPr>
        <w:spacing w:before="60" w:after="0" w:line="240" w:lineRule="auto"/>
        <w:jc w:val="both"/>
        <w:rPr>
          <w:rFonts w:eastAsia="Times New Roman" w:cs="Times New Roman"/>
          <w:spacing w:val="-4"/>
          <w:szCs w:val="28"/>
          <w:lang w:val="vi-VN"/>
        </w:rPr>
      </w:pPr>
      <w:r w:rsidRPr="00992862">
        <w:rPr>
          <w:rFonts w:eastAsia="Times New Roman" w:cs="Times New Roman"/>
          <w:spacing w:val="-4"/>
          <w:szCs w:val="28"/>
        </w:rPr>
        <w:tab/>
      </w:r>
      <w:r w:rsidRPr="00992862">
        <w:rPr>
          <w:rFonts w:eastAsia="Times New Roman" w:cs="Times New Roman"/>
          <w:b/>
          <w:szCs w:val="28"/>
        </w:rPr>
        <w:t>Điều 3</w:t>
      </w:r>
      <w:r w:rsidRPr="00992862">
        <w:rPr>
          <w:rFonts w:eastAsia="Times New Roman" w:cs="Times New Roman"/>
          <w:szCs w:val="28"/>
        </w:rPr>
        <w:t xml:space="preserve">. </w:t>
      </w:r>
      <w:r w:rsidRPr="00992862">
        <w:rPr>
          <w:rFonts w:eastAsia="Times New Roman" w:cs="Times New Roman"/>
          <w:szCs w:val="28"/>
          <w:lang w:val="vi-VN"/>
        </w:rPr>
        <w:t xml:space="preserve">Chánh Văn phòng </w:t>
      </w:r>
      <w:r w:rsidRPr="00992862">
        <w:rPr>
          <w:rFonts w:eastAsia="Times New Roman" w:cs="Times New Roman"/>
          <w:szCs w:val="28"/>
        </w:rPr>
        <w:t>UBND</w:t>
      </w:r>
      <w:r w:rsidRPr="00992862">
        <w:rPr>
          <w:rFonts w:eastAsia="Times New Roman" w:cs="Times New Roman"/>
          <w:bCs/>
          <w:szCs w:val="28"/>
          <w:lang w:val="vi-VN"/>
        </w:rPr>
        <w:t xml:space="preserve"> tỉnh</w:t>
      </w:r>
      <w:r w:rsidRPr="00992862">
        <w:rPr>
          <w:rFonts w:eastAsia="Times New Roman" w:cs="Times New Roman"/>
          <w:szCs w:val="28"/>
          <w:lang w:val="vi-VN"/>
        </w:rPr>
        <w:t>; Giám đốc Sở</w:t>
      </w:r>
      <w:r w:rsidRPr="00992862">
        <w:rPr>
          <w:rFonts w:eastAsia="Times New Roman" w:cs="Times New Roman"/>
          <w:szCs w:val="28"/>
        </w:rPr>
        <w:t xml:space="preserve"> </w:t>
      </w:r>
      <w:r w:rsidR="00A200C1">
        <w:rPr>
          <w:rFonts w:eastAsia="Times New Roman" w:cs="Times New Roman"/>
          <w:szCs w:val="28"/>
        </w:rPr>
        <w:t>Tài nguyên và Môi trường</w:t>
      </w:r>
      <w:r w:rsidRPr="00992862">
        <w:rPr>
          <w:rFonts w:eastAsia="Times New Roman" w:cs="Times New Roman"/>
          <w:szCs w:val="28"/>
          <w:lang w:val="vi-VN"/>
        </w:rPr>
        <w:t>;</w:t>
      </w:r>
      <w:r>
        <w:rPr>
          <w:rFonts w:eastAsia="Times New Roman" w:cs="Times New Roman"/>
          <w:szCs w:val="28"/>
        </w:rPr>
        <w:t xml:space="preserve"> </w:t>
      </w:r>
      <w:r w:rsidRPr="00992862">
        <w:rPr>
          <w:rFonts w:eastAsia="Times New Roman" w:cs="Times New Roman"/>
          <w:szCs w:val="28"/>
          <w:lang w:val="vi-VN"/>
        </w:rPr>
        <w:t>Giám đốc Trung tâm Phục vụ hành chính công tỉnh; UBND các huyện, thành phố; UBND các xã, phường, thị trấn và các tổ chức cá nhân có liên quan chịu trách nhiệm thi hành Quyết định này./.</w:t>
      </w:r>
    </w:p>
    <w:p w:rsidR="009A7815" w:rsidRPr="00992862" w:rsidRDefault="009A7815" w:rsidP="009A7815">
      <w:pPr>
        <w:spacing w:after="0" w:line="240" w:lineRule="auto"/>
        <w:ind w:firstLine="720"/>
        <w:jc w:val="both"/>
        <w:rPr>
          <w:rFonts w:eastAsia="Times New Roman" w:cs="Times New Roman"/>
          <w:szCs w:val="28"/>
        </w:rPr>
      </w:pPr>
    </w:p>
    <w:tbl>
      <w:tblPr>
        <w:tblW w:w="9322" w:type="dxa"/>
        <w:tblLook w:val="01E0" w:firstRow="1" w:lastRow="1" w:firstColumn="1" w:lastColumn="1" w:noHBand="0" w:noVBand="0"/>
      </w:tblPr>
      <w:tblGrid>
        <w:gridCol w:w="5637"/>
        <w:gridCol w:w="3685"/>
      </w:tblGrid>
      <w:tr w:rsidR="009A7815" w:rsidRPr="00992862" w:rsidTr="00BB3B24">
        <w:tc>
          <w:tcPr>
            <w:tcW w:w="5637" w:type="dxa"/>
          </w:tcPr>
          <w:tbl>
            <w:tblPr>
              <w:tblW w:w="0" w:type="auto"/>
              <w:tblInd w:w="108" w:type="dxa"/>
              <w:tblLook w:val="0000" w:firstRow="0" w:lastRow="0" w:firstColumn="0" w:lastColumn="0" w:noHBand="0" w:noVBand="0"/>
            </w:tblPr>
            <w:tblGrid>
              <w:gridCol w:w="4854"/>
            </w:tblGrid>
            <w:tr w:rsidR="009A7815" w:rsidRPr="00992862" w:rsidTr="00BB3B24">
              <w:trPr>
                <w:trHeight w:val="1"/>
              </w:trPr>
              <w:tc>
                <w:tcPr>
                  <w:tcW w:w="4854" w:type="dxa"/>
                  <w:shd w:val="clear" w:color="000000" w:fill="FFFFFF"/>
                </w:tcPr>
                <w:p w:rsidR="009A7815" w:rsidRPr="00992862" w:rsidRDefault="009A7815" w:rsidP="00BB3B24">
                  <w:pPr>
                    <w:widowControl w:val="0"/>
                    <w:autoSpaceDE w:val="0"/>
                    <w:autoSpaceDN w:val="0"/>
                    <w:adjustRightInd w:val="0"/>
                    <w:spacing w:after="0" w:line="240" w:lineRule="auto"/>
                    <w:jc w:val="both"/>
                    <w:rPr>
                      <w:rFonts w:eastAsia="Times New Roman" w:cs="Times New Roman"/>
                      <w:b/>
                      <w:bCs/>
                      <w:i/>
                      <w:iCs/>
                      <w:sz w:val="24"/>
                      <w:szCs w:val="24"/>
                      <w:lang w:val="vi-VN"/>
                    </w:rPr>
                  </w:pPr>
                  <w:r w:rsidRPr="00992862">
                    <w:rPr>
                      <w:rFonts w:eastAsia="Times New Roman" w:cs="Times New Roman"/>
                      <w:b/>
                      <w:bCs/>
                      <w:i/>
                      <w:iCs/>
                      <w:sz w:val="24"/>
                      <w:szCs w:val="24"/>
                    </w:rPr>
                    <w:t>N</w:t>
                  </w:r>
                  <w:r w:rsidRPr="00992862">
                    <w:rPr>
                      <w:rFonts w:eastAsia="Times New Roman" w:cs="Times New Roman"/>
                      <w:b/>
                      <w:bCs/>
                      <w:i/>
                      <w:iCs/>
                      <w:sz w:val="24"/>
                      <w:szCs w:val="24"/>
                      <w:lang w:val="vi-VN"/>
                    </w:rPr>
                    <w:t>ơi nhận:</w:t>
                  </w:r>
                </w:p>
                <w:p w:rsidR="009A7815" w:rsidRPr="00992862" w:rsidRDefault="009A7815" w:rsidP="00BB3B24">
                  <w:pPr>
                    <w:spacing w:after="0" w:line="240" w:lineRule="auto"/>
                    <w:jc w:val="both"/>
                    <w:rPr>
                      <w:rFonts w:eastAsia="Times New Roman" w:cs="Times New Roman"/>
                      <w:sz w:val="22"/>
                    </w:rPr>
                  </w:pPr>
                  <w:r w:rsidRPr="00992862">
                    <w:rPr>
                      <w:rFonts w:eastAsia="Times New Roman" w:cs="Times New Roman"/>
                      <w:sz w:val="22"/>
                    </w:rPr>
                    <w:t>- Như Điều 3;</w:t>
                  </w:r>
                </w:p>
                <w:p w:rsidR="009A7815" w:rsidRPr="00992862" w:rsidRDefault="009A7815" w:rsidP="00BB3B24">
                  <w:pPr>
                    <w:spacing w:after="0" w:line="240" w:lineRule="auto"/>
                    <w:jc w:val="both"/>
                    <w:rPr>
                      <w:rFonts w:eastAsia="Times New Roman" w:cs="Times New Roman"/>
                      <w:sz w:val="22"/>
                    </w:rPr>
                  </w:pPr>
                  <w:r w:rsidRPr="00992862">
                    <w:rPr>
                      <w:rFonts w:eastAsia="Times New Roman" w:cs="Times New Roman"/>
                      <w:sz w:val="22"/>
                    </w:rPr>
                    <w:t>- Văn phòng Chính phủ (Cục KSTTHC);</w:t>
                  </w:r>
                </w:p>
                <w:p w:rsidR="009A7815" w:rsidRPr="00992862" w:rsidRDefault="009A7815" w:rsidP="00BB3B24">
                  <w:pPr>
                    <w:spacing w:after="0" w:line="240" w:lineRule="auto"/>
                    <w:jc w:val="both"/>
                    <w:rPr>
                      <w:rFonts w:eastAsia="Times New Roman" w:cs="Times New Roman"/>
                      <w:sz w:val="22"/>
                    </w:rPr>
                  </w:pPr>
                  <w:r w:rsidRPr="00992862">
                    <w:rPr>
                      <w:rFonts w:eastAsia="Times New Roman" w:cs="Times New Roman"/>
                      <w:sz w:val="22"/>
                    </w:rPr>
                    <w:t>- Chủ tịch, các Phó Chủ tịch UBND tỉnh;</w:t>
                  </w:r>
                </w:p>
                <w:p w:rsidR="009A7815" w:rsidRPr="00992862" w:rsidRDefault="009A7815" w:rsidP="00BB3B24">
                  <w:pPr>
                    <w:spacing w:after="0" w:line="240" w:lineRule="auto"/>
                    <w:jc w:val="both"/>
                    <w:rPr>
                      <w:rFonts w:eastAsia="Times New Roman" w:cs="Times New Roman"/>
                      <w:sz w:val="22"/>
                    </w:rPr>
                  </w:pPr>
                  <w:r w:rsidRPr="00992862">
                    <w:rPr>
                      <w:rFonts w:eastAsia="Times New Roman" w:cs="Times New Roman"/>
                      <w:sz w:val="22"/>
                    </w:rPr>
                    <w:t>- Lãnh đạo Văn phòng;</w:t>
                  </w:r>
                </w:p>
                <w:p w:rsidR="009A7815" w:rsidRPr="00992862" w:rsidRDefault="009A7815" w:rsidP="00BB3B24">
                  <w:pPr>
                    <w:spacing w:after="0" w:line="240" w:lineRule="auto"/>
                    <w:jc w:val="both"/>
                    <w:rPr>
                      <w:rFonts w:eastAsia="Times New Roman" w:cs="Times New Roman"/>
                      <w:sz w:val="22"/>
                    </w:rPr>
                  </w:pPr>
                  <w:r w:rsidRPr="00992862">
                    <w:rPr>
                      <w:rFonts w:eastAsia="Times New Roman" w:cs="Times New Roman"/>
                      <w:sz w:val="22"/>
                    </w:rPr>
                    <w:t xml:space="preserve">- </w:t>
                  </w:r>
                  <w:r w:rsidR="008E2CCC">
                    <w:rPr>
                      <w:rFonts w:eastAsia="Times New Roman" w:cs="Times New Roman"/>
                      <w:sz w:val="22"/>
                    </w:rPr>
                    <w:t>Bưu điện tỉnh;</w:t>
                  </w:r>
                </w:p>
                <w:p w:rsidR="009A7815" w:rsidRPr="00992862" w:rsidRDefault="009A7815" w:rsidP="00BB3B24">
                  <w:pPr>
                    <w:spacing w:after="0" w:line="240" w:lineRule="auto"/>
                    <w:jc w:val="both"/>
                    <w:rPr>
                      <w:rFonts w:eastAsia="Times New Roman" w:cs="Times New Roman"/>
                      <w:sz w:val="22"/>
                    </w:rPr>
                  </w:pPr>
                  <w:r w:rsidRPr="00992862">
                    <w:rPr>
                      <w:rFonts w:eastAsia="Times New Roman" w:cs="Times New Roman"/>
                      <w:sz w:val="22"/>
                    </w:rPr>
                    <w:t>- Lưu: VT, PVHCC.</w:t>
                  </w:r>
                </w:p>
                <w:p w:rsidR="009A7815" w:rsidRPr="00992862" w:rsidRDefault="009A7815" w:rsidP="00BB3B24">
                  <w:pPr>
                    <w:widowControl w:val="0"/>
                    <w:autoSpaceDE w:val="0"/>
                    <w:autoSpaceDN w:val="0"/>
                    <w:adjustRightInd w:val="0"/>
                    <w:spacing w:after="0" w:line="240" w:lineRule="auto"/>
                    <w:jc w:val="both"/>
                    <w:rPr>
                      <w:rFonts w:eastAsia="Times New Roman" w:cs="Times New Roman"/>
                      <w:sz w:val="26"/>
                      <w:szCs w:val="26"/>
                      <w:lang w:val="vi-VN"/>
                    </w:rPr>
                  </w:pPr>
                </w:p>
              </w:tc>
            </w:tr>
          </w:tbl>
          <w:p w:rsidR="009A7815" w:rsidRPr="00992862" w:rsidRDefault="009A7815" w:rsidP="00BB3B24">
            <w:pPr>
              <w:spacing w:after="0" w:line="240" w:lineRule="auto"/>
              <w:jc w:val="both"/>
              <w:rPr>
                <w:rFonts w:eastAsia="Times New Roman" w:cs="Times New Roman"/>
                <w:sz w:val="26"/>
                <w:szCs w:val="26"/>
                <w:lang w:val="vi-VN"/>
              </w:rPr>
            </w:pPr>
          </w:p>
        </w:tc>
        <w:tc>
          <w:tcPr>
            <w:tcW w:w="3685" w:type="dxa"/>
          </w:tcPr>
          <w:p w:rsidR="009A7815" w:rsidRPr="00992862" w:rsidRDefault="009A7815" w:rsidP="00BB3B24">
            <w:pPr>
              <w:spacing w:after="0" w:line="240" w:lineRule="auto"/>
              <w:jc w:val="center"/>
              <w:rPr>
                <w:rFonts w:eastAsia="Times New Roman" w:cs="Times New Roman"/>
                <w:b/>
                <w:bCs/>
                <w:szCs w:val="28"/>
                <w:lang w:val="vi-VN"/>
              </w:rPr>
            </w:pPr>
            <w:r w:rsidRPr="00992862">
              <w:rPr>
                <w:rFonts w:eastAsia="Times New Roman" w:cs="Times New Roman"/>
                <w:b/>
                <w:bCs/>
                <w:szCs w:val="28"/>
                <w:lang w:val="vi-VN"/>
              </w:rPr>
              <w:t>CHỦ TỊCH</w:t>
            </w:r>
          </w:p>
          <w:p w:rsidR="009A7815" w:rsidRPr="00992862" w:rsidRDefault="009A7815" w:rsidP="00BB3B24">
            <w:pPr>
              <w:spacing w:after="0" w:line="240" w:lineRule="auto"/>
              <w:jc w:val="center"/>
              <w:rPr>
                <w:rFonts w:eastAsia="Times New Roman" w:cs="Times New Roman"/>
                <w:b/>
                <w:bCs/>
                <w:szCs w:val="28"/>
              </w:rPr>
            </w:pPr>
          </w:p>
          <w:p w:rsidR="009A7815" w:rsidRPr="00992862" w:rsidRDefault="009A7815" w:rsidP="00BB3B24">
            <w:pPr>
              <w:spacing w:after="0" w:line="240" w:lineRule="auto"/>
              <w:jc w:val="center"/>
              <w:rPr>
                <w:rFonts w:eastAsia="Times New Roman" w:cs="Times New Roman"/>
                <w:b/>
                <w:bCs/>
                <w:szCs w:val="28"/>
              </w:rPr>
            </w:pPr>
          </w:p>
          <w:p w:rsidR="009A7815" w:rsidRDefault="009A7815" w:rsidP="00BB3B24">
            <w:pPr>
              <w:spacing w:after="0" w:line="240" w:lineRule="auto"/>
              <w:jc w:val="center"/>
              <w:rPr>
                <w:rFonts w:eastAsia="Times New Roman" w:cs="Times New Roman"/>
                <w:b/>
                <w:bCs/>
                <w:szCs w:val="28"/>
              </w:rPr>
            </w:pPr>
          </w:p>
          <w:p w:rsidR="009B1A1F" w:rsidRDefault="009B1A1F" w:rsidP="00BB3B24">
            <w:pPr>
              <w:spacing w:after="0" w:line="240" w:lineRule="auto"/>
              <w:jc w:val="center"/>
              <w:rPr>
                <w:rFonts w:eastAsia="Times New Roman" w:cs="Times New Roman"/>
                <w:b/>
                <w:bCs/>
                <w:szCs w:val="28"/>
              </w:rPr>
            </w:pPr>
          </w:p>
          <w:p w:rsidR="00D62304" w:rsidRDefault="00D62304" w:rsidP="00BB3B24">
            <w:pPr>
              <w:spacing w:after="0" w:line="240" w:lineRule="auto"/>
              <w:jc w:val="center"/>
              <w:rPr>
                <w:rFonts w:eastAsia="Times New Roman" w:cs="Times New Roman"/>
                <w:b/>
                <w:bCs/>
                <w:szCs w:val="28"/>
              </w:rPr>
            </w:pPr>
          </w:p>
          <w:p w:rsidR="009A7815" w:rsidRPr="00992862" w:rsidRDefault="009A7815" w:rsidP="00BB3B24">
            <w:pPr>
              <w:spacing w:after="0" w:line="240" w:lineRule="auto"/>
              <w:jc w:val="center"/>
              <w:rPr>
                <w:rFonts w:eastAsia="Times New Roman" w:cs="Times New Roman"/>
                <w:b/>
                <w:bCs/>
                <w:szCs w:val="28"/>
              </w:rPr>
            </w:pPr>
            <w:r w:rsidRPr="00992862">
              <w:rPr>
                <w:rFonts w:eastAsia="Times New Roman" w:cs="Times New Roman"/>
                <w:b/>
                <w:bCs/>
                <w:szCs w:val="28"/>
                <w:lang w:val="vi-VN"/>
              </w:rPr>
              <w:t>Nguyễn Văn Sơn</w:t>
            </w:r>
          </w:p>
        </w:tc>
      </w:tr>
    </w:tbl>
    <w:p w:rsidR="009A7815" w:rsidRPr="00C44C97" w:rsidRDefault="009A7815" w:rsidP="009A7815">
      <w:pPr>
        <w:spacing w:before="60" w:after="0" w:line="240" w:lineRule="auto"/>
        <w:jc w:val="center"/>
        <w:rPr>
          <w:rFonts w:eastAsia="Arial"/>
          <w:b/>
          <w:szCs w:val="28"/>
          <w:lang w:val="vi-VN"/>
        </w:rPr>
      </w:pPr>
      <w:r w:rsidRPr="00062941">
        <w:rPr>
          <w:rFonts w:eastAsia="Arial"/>
          <w:b/>
          <w:szCs w:val="28"/>
          <w:lang w:val="vi-VN"/>
        </w:rPr>
        <w:lastRenderedPageBreak/>
        <w:t xml:space="preserve">THỦ TỤC HÀNH CHÍNH </w:t>
      </w:r>
      <w:r w:rsidRPr="00C44C97">
        <w:rPr>
          <w:rFonts w:eastAsia="Arial"/>
          <w:b/>
          <w:szCs w:val="28"/>
          <w:lang w:val="vi-VN"/>
        </w:rPr>
        <w:t xml:space="preserve">CỦA NGÀNH </w:t>
      </w:r>
      <w:r w:rsidR="00A200C1">
        <w:rPr>
          <w:rFonts w:eastAsia="Arial"/>
          <w:b/>
          <w:szCs w:val="28"/>
          <w:lang w:val="vi-VN"/>
        </w:rPr>
        <w:t>TÀI NGUYÊN VÀ MÔI TRƯỜNG</w:t>
      </w:r>
      <w:r w:rsidR="00BB3B24">
        <w:rPr>
          <w:rFonts w:eastAsia="Arial"/>
          <w:b/>
          <w:szCs w:val="28"/>
          <w:lang w:val="vi-VN"/>
        </w:rPr>
        <w:t xml:space="preserve"> </w:t>
      </w:r>
      <w:r w:rsidRPr="00C44C97">
        <w:rPr>
          <w:rFonts w:eastAsia="Arial"/>
          <w:b/>
          <w:szCs w:val="28"/>
          <w:lang w:val="vi-VN"/>
        </w:rPr>
        <w:t xml:space="preserve">ÁP DỤNG TRÊN ĐỊA BÀN </w:t>
      </w:r>
      <w:r w:rsidRPr="00062941">
        <w:rPr>
          <w:rFonts w:eastAsia="Arial"/>
          <w:b/>
          <w:szCs w:val="28"/>
          <w:lang w:val="vi-VN"/>
        </w:rPr>
        <w:t>TỈNH HÀ GIANG</w:t>
      </w:r>
    </w:p>
    <w:p w:rsidR="009A7815" w:rsidRPr="00062941" w:rsidRDefault="009A7815" w:rsidP="009A7815">
      <w:pPr>
        <w:spacing w:before="60" w:after="0" w:line="240" w:lineRule="auto"/>
        <w:jc w:val="center"/>
        <w:rPr>
          <w:rFonts w:eastAsia="Arial"/>
          <w:i/>
          <w:szCs w:val="28"/>
          <w:lang w:val="vi-VN"/>
        </w:rPr>
      </w:pPr>
      <w:r w:rsidRPr="00062941">
        <w:rPr>
          <w:rFonts w:eastAsia="Arial"/>
          <w:i/>
          <w:szCs w:val="28"/>
          <w:lang w:val="vi-VN"/>
        </w:rPr>
        <w:t xml:space="preserve"> (</w:t>
      </w:r>
      <w:r w:rsidRPr="003538BD">
        <w:rPr>
          <w:rFonts w:eastAsia="Arial"/>
          <w:i/>
          <w:szCs w:val="28"/>
          <w:lang w:val="vi-VN"/>
        </w:rPr>
        <w:t>K</w:t>
      </w:r>
      <w:r w:rsidRPr="00062941">
        <w:rPr>
          <w:rFonts w:eastAsia="Arial"/>
          <w:i/>
          <w:szCs w:val="28"/>
          <w:lang w:val="vi-VN"/>
        </w:rPr>
        <w:t xml:space="preserve">èm theo Quyết định số </w:t>
      </w:r>
      <w:r w:rsidRPr="003538BD">
        <w:rPr>
          <w:rFonts w:eastAsia="Arial"/>
          <w:i/>
          <w:szCs w:val="28"/>
          <w:lang w:val="vi-VN"/>
        </w:rPr>
        <w:t xml:space="preserve">           </w:t>
      </w:r>
      <w:r w:rsidRPr="00062941">
        <w:rPr>
          <w:rFonts w:eastAsia="Arial"/>
          <w:i/>
          <w:szCs w:val="28"/>
          <w:lang w:val="vi-VN"/>
        </w:rPr>
        <w:t xml:space="preserve">/QĐ-UBND ngày </w:t>
      </w:r>
      <w:r w:rsidRPr="003538BD">
        <w:rPr>
          <w:rFonts w:eastAsia="Arial"/>
          <w:i/>
          <w:szCs w:val="28"/>
          <w:lang w:val="vi-VN"/>
        </w:rPr>
        <w:t xml:space="preserve">    </w:t>
      </w:r>
      <w:r w:rsidRPr="00062941">
        <w:rPr>
          <w:rFonts w:eastAsia="Arial"/>
          <w:i/>
          <w:szCs w:val="28"/>
          <w:lang w:val="vi-VN"/>
        </w:rPr>
        <w:t xml:space="preserve"> tháng</w:t>
      </w:r>
      <w:r w:rsidRPr="003538BD">
        <w:rPr>
          <w:rFonts w:eastAsia="Arial"/>
          <w:i/>
          <w:szCs w:val="28"/>
          <w:lang w:val="vi-VN"/>
        </w:rPr>
        <w:t xml:space="preserve">     </w:t>
      </w:r>
      <w:r w:rsidRPr="00062941">
        <w:rPr>
          <w:rFonts w:eastAsia="Arial"/>
          <w:i/>
          <w:szCs w:val="28"/>
          <w:lang w:val="vi-VN"/>
        </w:rPr>
        <w:t xml:space="preserve"> năm </w:t>
      </w:r>
      <w:r w:rsidRPr="003538BD">
        <w:rPr>
          <w:rFonts w:eastAsia="Arial"/>
          <w:i/>
          <w:szCs w:val="28"/>
          <w:lang w:val="vi-VN"/>
        </w:rPr>
        <w:t>2021</w:t>
      </w:r>
      <w:r w:rsidRPr="00062941">
        <w:rPr>
          <w:rFonts w:eastAsia="Arial"/>
          <w:i/>
          <w:szCs w:val="28"/>
          <w:lang w:val="vi-VN"/>
        </w:rPr>
        <w:t xml:space="preserve"> của Chủ tịch UBND tỉnh Hà Giang)</w:t>
      </w:r>
    </w:p>
    <w:p w:rsidR="009A7815" w:rsidRPr="003538BD" w:rsidRDefault="009A7815" w:rsidP="009A7815">
      <w:pPr>
        <w:spacing w:before="60" w:after="0" w:line="240" w:lineRule="auto"/>
        <w:jc w:val="center"/>
        <w:rPr>
          <w:rFonts w:eastAsia="Arial"/>
          <w:b/>
          <w:bCs/>
          <w:szCs w:val="28"/>
          <w:lang w:val="vi-VN"/>
        </w:rPr>
      </w:pPr>
    </w:p>
    <w:p w:rsidR="009A7815" w:rsidRPr="00062941" w:rsidRDefault="009A7815" w:rsidP="009A7815">
      <w:pPr>
        <w:spacing w:before="60" w:after="0" w:line="240" w:lineRule="auto"/>
        <w:jc w:val="center"/>
        <w:rPr>
          <w:rFonts w:eastAsia="Arial"/>
          <w:b/>
          <w:bCs/>
          <w:szCs w:val="28"/>
          <w:lang w:val="vi-VN"/>
        </w:rPr>
      </w:pPr>
      <w:r w:rsidRPr="00062941">
        <w:rPr>
          <w:rFonts w:eastAsia="Arial"/>
          <w:b/>
          <w:bCs/>
          <w:szCs w:val="28"/>
          <w:lang w:val="vi-VN"/>
        </w:rPr>
        <w:t>Phần I.</w:t>
      </w:r>
    </w:p>
    <w:p w:rsidR="009A7815" w:rsidRPr="003538BD" w:rsidRDefault="009A7815" w:rsidP="009A7815">
      <w:pPr>
        <w:spacing w:before="60" w:after="0" w:line="240" w:lineRule="auto"/>
        <w:jc w:val="center"/>
        <w:rPr>
          <w:rFonts w:eastAsia="Arial"/>
          <w:b/>
          <w:szCs w:val="28"/>
          <w:lang w:val="vi-VN"/>
        </w:rPr>
      </w:pPr>
      <w:r w:rsidRPr="00062941">
        <w:rPr>
          <w:rFonts w:eastAsia="Arial"/>
          <w:b/>
          <w:bCs/>
          <w:szCs w:val="28"/>
          <w:lang w:val="vi-VN"/>
        </w:rPr>
        <w:t xml:space="preserve">DANH MỤC </w:t>
      </w:r>
      <w:r w:rsidRPr="00062941">
        <w:rPr>
          <w:rFonts w:eastAsia="Arial"/>
          <w:b/>
          <w:szCs w:val="28"/>
          <w:lang w:val="vi-VN"/>
        </w:rPr>
        <w:t>THỦ TỤC HÀNH CHÍNH</w:t>
      </w:r>
    </w:p>
    <w:p w:rsidR="009A7815" w:rsidRPr="003538BD" w:rsidRDefault="009A7815" w:rsidP="009A7815">
      <w:pPr>
        <w:spacing w:before="60" w:after="0" w:line="240" w:lineRule="auto"/>
        <w:jc w:val="both"/>
        <w:rPr>
          <w:rFonts w:eastAsia="Arial"/>
          <w:b/>
          <w:szCs w:val="28"/>
          <w:lang w:val="vi-VN"/>
        </w:rPr>
      </w:pPr>
    </w:p>
    <w:tbl>
      <w:tblPr>
        <w:tblW w:w="9493" w:type="dxa"/>
        <w:tblLook w:val="04A0" w:firstRow="1" w:lastRow="0" w:firstColumn="1" w:lastColumn="0" w:noHBand="0" w:noVBand="1"/>
      </w:tblPr>
      <w:tblGrid>
        <w:gridCol w:w="780"/>
        <w:gridCol w:w="1300"/>
        <w:gridCol w:w="7413"/>
      </w:tblGrid>
      <w:tr w:rsidR="00BF35A5" w:rsidRPr="00BF35A5" w:rsidTr="00587A67">
        <w:trPr>
          <w:trHeight w:val="315"/>
          <w:tblHeader/>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b/>
                <w:bCs/>
                <w:color w:val="000000"/>
                <w:sz w:val="26"/>
                <w:szCs w:val="26"/>
              </w:rPr>
            </w:pPr>
            <w:r w:rsidRPr="00587A67">
              <w:rPr>
                <w:rFonts w:eastAsia="Times New Roman" w:cs="Times New Roman"/>
                <w:b/>
                <w:bCs/>
                <w:color w:val="000000"/>
                <w:sz w:val="26"/>
                <w:szCs w:val="26"/>
              </w:rPr>
              <w:t>STT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b/>
                <w:bCs/>
                <w:color w:val="000000"/>
                <w:sz w:val="26"/>
                <w:szCs w:val="26"/>
              </w:rPr>
            </w:pPr>
            <w:r w:rsidRPr="00587A67">
              <w:rPr>
                <w:rFonts w:eastAsia="Times New Roman" w:cs="Times New Roman"/>
                <w:b/>
                <w:bCs/>
                <w:color w:val="000000"/>
                <w:sz w:val="26"/>
                <w:szCs w:val="26"/>
              </w:rPr>
              <w:t>Mã TTHC gốc</w:t>
            </w:r>
          </w:p>
        </w:tc>
        <w:tc>
          <w:tcPr>
            <w:tcW w:w="7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b/>
                <w:bCs/>
                <w:color w:val="000000"/>
                <w:sz w:val="26"/>
                <w:szCs w:val="26"/>
              </w:rPr>
            </w:pPr>
            <w:r w:rsidRPr="00587A67">
              <w:rPr>
                <w:rFonts w:eastAsia="Arial" w:cs="Times New Roman"/>
                <w:b/>
                <w:sz w:val="26"/>
                <w:szCs w:val="26"/>
                <w:lang w:val="vi-VN"/>
              </w:rPr>
              <w:t>Tên thủ tục hành chính</w:t>
            </w:r>
          </w:p>
        </w:tc>
      </w:tr>
      <w:tr w:rsidR="00BF35A5" w:rsidRPr="00BF35A5" w:rsidTr="00587A67">
        <w:trPr>
          <w:trHeight w:val="609"/>
          <w:tblHead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F35A5" w:rsidRPr="00587A67" w:rsidRDefault="00BF35A5" w:rsidP="00587A67">
            <w:pPr>
              <w:spacing w:after="0" w:line="240" w:lineRule="auto"/>
              <w:jc w:val="center"/>
              <w:rPr>
                <w:rFonts w:eastAsia="Times New Roman" w:cs="Times New Roman"/>
                <w:b/>
                <w:bCs/>
                <w:color w:val="000000"/>
                <w:sz w:val="26"/>
                <w:szCs w:val="2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F35A5" w:rsidRPr="00587A67" w:rsidRDefault="00BF35A5" w:rsidP="00587A67">
            <w:pPr>
              <w:spacing w:after="0" w:line="240" w:lineRule="auto"/>
              <w:jc w:val="center"/>
              <w:rPr>
                <w:rFonts w:eastAsia="Times New Roman" w:cs="Times New Roman"/>
                <w:b/>
                <w:bCs/>
                <w:color w:val="000000"/>
                <w:sz w:val="26"/>
                <w:szCs w:val="26"/>
              </w:rPr>
            </w:pPr>
          </w:p>
        </w:tc>
        <w:tc>
          <w:tcPr>
            <w:tcW w:w="7413" w:type="dxa"/>
            <w:vMerge/>
            <w:tcBorders>
              <w:top w:val="single" w:sz="4" w:space="0" w:color="auto"/>
              <w:left w:val="single" w:sz="4" w:space="0" w:color="auto"/>
              <w:bottom w:val="single" w:sz="4" w:space="0" w:color="auto"/>
              <w:right w:val="single" w:sz="4" w:space="0" w:color="auto"/>
            </w:tcBorders>
            <w:vAlign w:val="center"/>
            <w:hideMark/>
          </w:tcPr>
          <w:p w:rsidR="00BF35A5" w:rsidRPr="00587A67" w:rsidRDefault="00BF35A5" w:rsidP="00587A67">
            <w:pPr>
              <w:spacing w:after="0" w:line="240" w:lineRule="auto"/>
              <w:jc w:val="center"/>
              <w:rPr>
                <w:rFonts w:eastAsia="Times New Roman" w:cs="Times New Roman"/>
                <w:b/>
                <w:bCs/>
                <w:color w:val="000000"/>
                <w:sz w:val="26"/>
                <w:szCs w:val="26"/>
              </w:rPr>
            </w:pPr>
          </w:p>
        </w:tc>
      </w:tr>
      <w:tr w:rsidR="00BF35A5" w:rsidRPr="00BF35A5" w:rsidTr="00587A67">
        <w:trPr>
          <w:trHeight w:val="561"/>
          <w:tblHeader/>
        </w:trPr>
        <w:tc>
          <w:tcPr>
            <w:tcW w:w="780" w:type="dxa"/>
            <w:tcBorders>
              <w:top w:val="single" w:sz="4" w:space="0" w:color="auto"/>
              <w:left w:val="single" w:sz="4" w:space="0" w:color="auto"/>
              <w:bottom w:val="single" w:sz="4" w:space="0" w:color="auto"/>
              <w:right w:val="single" w:sz="4" w:space="0" w:color="auto"/>
            </w:tcBorders>
            <w:vAlign w:val="center"/>
          </w:tcPr>
          <w:p w:rsidR="00BF35A5" w:rsidRPr="00587A67" w:rsidRDefault="00BF35A5" w:rsidP="00587A67">
            <w:pPr>
              <w:spacing w:after="0" w:line="240" w:lineRule="auto"/>
              <w:jc w:val="center"/>
              <w:rPr>
                <w:rFonts w:eastAsia="Times New Roman" w:cs="Times New Roman"/>
                <w:bCs/>
                <w:i/>
                <w:color w:val="000000"/>
                <w:sz w:val="26"/>
                <w:szCs w:val="26"/>
              </w:rPr>
            </w:pPr>
            <w:r w:rsidRPr="00587A67">
              <w:rPr>
                <w:rFonts w:eastAsia="Times New Roman" w:cs="Times New Roman"/>
                <w:bCs/>
                <w:i/>
                <w:color w:val="000000"/>
                <w:sz w:val="26"/>
                <w:szCs w:val="26"/>
              </w:rPr>
              <w:t>(1)</w:t>
            </w:r>
          </w:p>
        </w:tc>
        <w:tc>
          <w:tcPr>
            <w:tcW w:w="1300" w:type="dxa"/>
            <w:tcBorders>
              <w:top w:val="single" w:sz="4" w:space="0" w:color="auto"/>
              <w:left w:val="single" w:sz="4" w:space="0" w:color="auto"/>
              <w:bottom w:val="single" w:sz="4" w:space="0" w:color="auto"/>
              <w:right w:val="single" w:sz="4" w:space="0" w:color="auto"/>
            </w:tcBorders>
            <w:vAlign w:val="center"/>
          </w:tcPr>
          <w:p w:rsidR="00BF35A5" w:rsidRPr="00587A67" w:rsidRDefault="00BF35A5" w:rsidP="00587A67">
            <w:pPr>
              <w:spacing w:after="0" w:line="240" w:lineRule="auto"/>
              <w:jc w:val="center"/>
              <w:rPr>
                <w:rFonts w:eastAsia="Times New Roman" w:cs="Times New Roman"/>
                <w:bCs/>
                <w:i/>
                <w:color w:val="000000"/>
                <w:sz w:val="26"/>
                <w:szCs w:val="26"/>
              </w:rPr>
            </w:pPr>
            <w:r w:rsidRPr="00587A67">
              <w:rPr>
                <w:rFonts w:eastAsia="Times New Roman" w:cs="Times New Roman"/>
                <w:bCs/>
                <w:i/>
                <w:color w:val="000000"/>
                <w:sz w:val="26"/>
                <w:szCs w:val="26"/>
              </w:rPr>
              <w:t>(2)</w:t>
            </w:r>
          </w:p>
        </w:tc>
        <w:tc>
          <w:tcPr>
            <w:tcW w:w="7413" w:type="dxa"/>
            <w:tcBorders>
              <w:top w:val="single" w:sz="4" w:space="0" w:color="auto"/>
              <w:left w:val="single" w:sz="4" w:space="0" w:color="auto"/>
              <w:bottom w:val="single" w:sz="4" w:space="0" w:color="auto"/>
              <w:right w:val="single" w:sz="4" w:space="0" w:color="auto"/>
            </w:tcBorders>
            <w:vAlign w:val="center"/>
          </w:tcPr>
          <w:p w:rsidR="00BF35A5" w:rsidRPr="00587A67" w:rsidRDefault="00BF35A5" w:rsidP="00587A67">
            <w:pPr>
              <w:spacing w:after="0" w:line="240" w:lineRule="auto"/>
              <w:jc w:val="center"/>
              <w:rPr>
                <w:rFonts w:eastAsia="Times New Roman" w:cs="Times New Roman"/>
                <w:bCs/>
                <w:i/>
                <w:color w:val="000000"/>
                <w:sz w:val="26"/>
                <w:szCs w:val="26"/>
              </w:rPr>
            </w:pPr>
            <w:r w:rsidRPr="00587A67">
              <w:rPr>
                <w:rFonts w:eastAsia="Times New Roman" w:cs="Times New Roman"/>
                <w:bCs/>
                <w:i/>
                <w:color w:val="000000"/>
                <w:sz w:val="26"/>
                <w:szCs w:val="26"/>
              </w:rPr>
              <w:t>(3)</w:t>
            </w:r>
          </w:p>
        </w:tc>
      </w:tr>
      <w:tr w:rsidR="00587A67" w:rsidRPr="00BF35A5" w:rsidTr="009C7072">
        <w:trPr>
          <w:trHeight w:val="52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587A67" w:rsidRPr="00587A67" w:rsidRDefault="00587A67" w:rsidP="00587A67">
            <w:pPr>
              <w:spacing w:after="0" w:line="240" w:lineRule="auto"/>
              <w:jc w:val="center"/>
              <w:rPr>
                <w:rFonts w:eastAsia="Times New Roman" w:cs="Times New Roman"/>
                <w:b/>
                <w:bCs/>
                <w:color w:val="000000"/>
                <w:sz w:val="26"/>
                <w:szCs w:val="26"/>
              </w:rPr>
            </w:pPr>
            <w:r w:rsidRPr="00587A67">
              <w:rPr>
                <w:rFonts w:eastAsia="Times New Roman" w:cs="Times New Roman"/>
                <w:b/>
                <w:bCs/>
                <w:color w:val="000000"/>
                <w:sz w:val="26"/>
                <w:szCs w:val="26"/>
              </w:rPr>
              <w:t>A</w:t>
            </w:r>
          </w:p>
        </w:tc>
        <w:tc>
          <w:tcPr>
            <w:tcW w:w="8713" w:type="dxa"/>
            <w:gridSpan w:val="2"/>
            <w:tcBorders>
              <w:top w:val="nil"/>
              <w:left w:val="nil"/>
              <w:bottom w:val="single" w:sz="4" w:space="0" w:color="auto"/>
              <w:right w:val="single" w:sz="4" w:space="0" w:color="auto"/>
            </w:tcBorders>
            <w:shd w:val="clear" w:color="000000" w:fill="FFFFFF"/>
            <w:vAlign w:val="center"/>
            <w:hideMark/>
          </w:tcPr>
          <w:p w:rsidR="00587A67" w:rsidRPr="00587A67" w:rsidRDefault="00587A67"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Cấp tỉnh</w:t>
            </w:r>
          </w:p>
        </w:tc>
      </w:tr>
      <w:tr w:rsidR="00F9049E" w:rsidRPr="00BF35A5" w:rsidTr="00587A67">
        <w:trPr>
          <w:trHeight w:val="525"/>
        </w:trPr>
        <w:tc>
          <w:tcPr>
            <w:tcW w:w="780" w:type="dxa"/>
            <w:tcBorders>
              <w:top w:val="nil"/>
              <w:left w:val="single" w:sz="4" w:space="0" w:color="auto"/>
              <w:bottom w:val="single" w:sz="4" w:space="0" w:color="auto"/>
              <w:right w:val="single" w:sz="4" w:space="0" w:color="auto"/>
            </w:tcBorders>
            <w:shd w:val="clear" w:color="000000" w:fill="FFFFFF"/>
            <w:vAlign w:val="center"/>
          </w:tcPr>
          <w:p w:rsidR="00F9049E" w:rsidRPr="00587A67" w:rsidRDefault="00F9049E" w:rsidP="00587A67">
            <w:pPr>
              <w:spacing w:after="0" w:line="240" w:lineRule="auto"/>
              <w:jc w:val="center"/>
              <w:rPr>
                <w:rFonts w:eastAsia="Times New Roman" w:cs="Times New Roman"/>
                <w:b/>
                <w:bCs/>
                <w:color w:val="000000"/>
                <w:sz w:val="26"/>
                <w:szCs w:val="26"/>
              </w:rPr>
            </w:pPr>
            <w:r w:rsidRPr="00587A67">
              <w:rPr>
                <w:rFonts w:eastAsia="Times New Roman" w:cs="Times New Roman"/>
                <w:b/>
                <w:bCs/>
                <w:color w:val="000000"/>
                <w:sz w:val="26"/>
                <w:szCs w:val="26"/>
              </w:rPr>
              <w:t>I</w:t>
            </w:r>
          </w:p>
        </w:tc>
        <w:tc>
          <w:tcPr>
            <w:tcW w:w="1300" w:type="dxa"/>
            <w:tcBorders>
              <w:top w:val="nil"/>
              <w:left w:val="nil"/>
              <w:bottom w:val="single" w:sz="4" w:space="0" w:color="auto"/>
              <w:right w:val="single" w:sz="4" w:space="0" w:color="auto"/>
            </w:tcBorders>
            <w:shd w:val="clear" w:color="000000" w:fill="FFFFFF"/>
            <w:vAlign w:val="center"/>
          </w:tcPr>
          <w:p w:rsidR="00F9049E" w:rsidRPr="00587A67" w:rsidRDefault="00F9049E" w:rsidP="00587A67">
            <w:pPr>
              <w:spacing w:after="0" w:line="240" w:lineRule="auto"/>
              <w:jc w:val="center"/>
              <w:rPr>
                <w:rFonts w:eastAsia="Times New Roman" w:cs="Times New Roman"/>
                <w:b/>
                <w:bCs/>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tcPr>
          <w:p w:rsidR="00F9049E" w:rsidRPr="00587A67" w:rsidRDefault="00F9049E"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Đất đai</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004267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Giải quyết tranh chấp đất đai thuộc thẩm quyền của Chủ tịch Ủy ban nhân dân cấp tỉnh.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1.003010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002253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1.002040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004257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Chuyển mục đích sử dụng đất phải được phép của cơ quan nhà nước có thẩm quyền đối với tổ chức.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004688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Điều chỉnh quyết định thu hồi đất, giao đất, cho thuê đất, cho phép chuyển mục đích sử dụng đất của Thủ tướng Chính phủ đã ban hành trước ngày 01 tháng 7 năm 2004.</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004217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sử dụng đất nông nghiệp của cơ sở tôn giáo.</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005398</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quyền sử dụng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lastRenderedPageBreak/>
              <w:t>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001938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đất đai lần đầu đối với trường hợp được Nhà nước giao đất để quản lý.</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004238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Xóa đăng ký cho thuê, cho thuê lại, góp vốn bằng quyền sử dụng đất, quyền sở hữu tài sản gắn liền với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004227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004221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1.001990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sử dụng đất ngoài khu công nghệ cao, khu kinh tế.</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004203</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Tách thửa hoặc hợp thửa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004199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đổi Giấy chứng nhận quyền sử dụng đất, quyền sở hữu nhà ở và tài sản khác gắn liền với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004193</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Đính chính Giấy chứng nhận đã cấp.</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004177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Thu hồi Giấy chứng nhận đã cấp không đúng quy định của pháp luật đất đai do người sử dụng đất, chủ sở hữu tài sản gắn liền với đất phát hiện.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003003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và cấp Giấy chứng nhận quyền sử dụng đất, quyền sở hữu nhà ở và tài sản khác gắn liền với đất lần đầu.</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000983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chứng nhận quyền sử dụng đất, quyền sở hữu nhà ở và tài sản khác gắn liền với đất cho người đã đăng ký quyền sử dụng đất lần đầu.</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002255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000976</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thay đổi tài sản gắn liền với đất vào Giấy chứng nhận đã cấp.</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002993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000889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Đăng ký biến động quyền sử dụng đất, quyền sở hữu tài sản gắn liền với đất trong các trường hợp chuyển nhượng,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w:t>
            </w:r>
            <w:r w:rsidRPr="00587A67">
              <w:rPr>
                <w:rFonts w:eastAsia="Times New Roman" w:cs="Times New Roman"/>
                <w:color w:val="000000"/>
                <w:sz w:val="26"/>
                <w:szCs w:val="26"/>
              </w:rPr>
              <w:lastRenderedPageBreak/>
              <w:t>nhận chuyển nhượng, thừa kế, tặng cho quyền sử dụng đất đã có Giấy chứng nhận.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lastRenderedPageBreak/>
              <w:t>24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001991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Bán hoặc góp vốn bằng tài sản gắn liền với đất thuê của Nhà nước theo hình thức thuê đất trả tiền hàng năm.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2.000880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001134</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005194</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lại Giấy chứng nhận hoặc cấp lại trang bổ sung của Giấy chứng nhận do bị mất.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001045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đối với trường hợp chuyển mục đích sử dụng đất không phải xin phép cơ quan Nhà nước có thẩm quyền.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001009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Chuyển nhượng vốn đầu tư là giá trị quyền sử dụng đất.</w:t>
            </w:r>
          </w:p>
        </w:tc>
      </w:tr>
      <w:tr w:rsidR="00BF35A5" w:rsidRPr="00BF35A5" w:rsidTr="00587A67">
        <w:trPr>
          <w:trHeight w:val="60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1.002.273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II</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Môi trường</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002205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Tham vấn ý kiến trong quá trình thực hiện đánh giá tác động môi trường.</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1.004240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Thẩm định, phê duyệt phương án cải tạo, phục hồi môi trường đối với hoạt động khai thác khoáng sản (báo cáo riêng theo quy định tại điểm b khoản 1 và điểm b, điểm c khoản 2 Điều 5 Nghị định số 40/2019/NĐ-CP sửa đổi, bổ sung Điều 5 Nghị định số</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004129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Chấp thuận tách đấu nối khỏi hệ thống xử lý nước thải tập trung khu công nghiệp, khu chế xuất, khu công nghệ cao và tự xử lý nước thải phát sinh.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007011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Sổ đăng ký chủ nguồn thải chất thải nguy hại.</w:t>
            </w:r>
          </w:p>
        </w:tc>
      </w:tr>
      <w:tr w:rsidR="00BF35A5" w:rsidRPr="00BF35A5" w:rsidTr="00587A67">
        <w:trPr>
          <w:trHeight w:val="6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34</w:t>
            </w:r>
          </w:p>
        </w:tc>
        <w:tc>
          <w:tcPr>
            <w:tcW w:w="1300"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1.007.011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lại Sổ đăng ký chủ nguồn thải chất thải nguy hại.</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005741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Vận hành thử nghiệm các công trình xử lý chất thải theo quyết định phê duyệt báo cá</w:t>
            </w:r>
            <w:r w:rsidR="00587A67" w:rsidRPr="00587A67">
              <w:rPr>
                <w:rFonts w:eastAsia="Times New Roman" w:cs="Times New Roman"/>
                <w:color w:val="000000"/>
                <w:sz w:val="26"/>
                <w:szCs w:val="26"/>
              </w:rPr>
              <w:t xml:space="preserve">o đánh giá tác động môi trường </w:t>
            </w:r>
            <w:r w:rsidRPr="00587A67">
              <w:rPr>
                <w:rFonts w:eastAsia="Times New Roman" w:cs="Times New Roman"/>
                <w:color w:val="000000"/>
                <w:sz w:val="26"/>
                <w:szCs w:val="26"/>
              </w:rPr>
              <w:t>của dự án.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lastRenderedPageBreak/>
              <w:t>36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008675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trao đổi, mua, bán, tặng cho, thuê, lưu giữ, vận chuyển mẫu vật của loài thuộc Danh mục loài được ưu tiên bảo vệ</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008682</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chứng nhận cơ sở bảo tồn đa dạng sinh học.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004249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Thẩm định, phê duyệt báo cáo đánh giá tác động môi trường/báo cáo đánh giá tác động môi trường lập lại.</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004141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Chấp thuận về môi trường (Trường hợp dự </w:t>
            </w:r>
            <w:proofErr w:type="gramStart"/>
            <w:r w:rsidRPr="00587A67">
              <w:rPr>
                <w:rFonts w:eastAsia="Times New Roman" w:cs="Times New Roman"/>
                <w:color w:val="000000"/>
                <w:sz w:val="26"/>
                <w:szCs w:val="26"/>
              </w:rPr>
              <w:t>án</w:t>
            </w:r>
            <w:proofErr w:type="gramEnd"/>
            <w:r w:rsidRPr="00587A67">
              <w:rPr>
                <w:rFonts w:eastAsia="Times New Roman" w:cs="Times New Roman"/>
                <w:color w:val="000000"/>
                <w:sz w:val="26"/>
                <w:szCs w:val="26"/>
              </w:rPr>
              <w:t xml:space="preserve"> có những thay đổi được quy định tại khoản 2 Điều 26 Luật bảo vệ môi trường trong giai đoạn triển khai xây dựng dự án).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004356</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Kiểm tra, xác nhận hoàn thành công trình bảo vệ môi trường theo quyết định phê duyệt báo cáo đánh giá tác động môi trường của dự </w:t>
            </w:r>
            <w:proofErr w:type="gramStart"/>
            <w:r w:rsidRPr="00587A67">
              <w:rPr>
                <w:rFonts w:eastAsia="Times New Roman" w:cs="Times New Roman"/>
                <w:color w:val="000000"/>
                <w:sz w:val="26"/>
                <w:szCs w:val="26"/>
              </w:rPr>
              <w:t>án .</w:t>
            </w:r>
            <w:proofErr w:type="gramEnd"/>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004258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Xác nhận hoàn thành từng phần phương </w:t>
            </w:r>
            <w:proofErr w:type="gramStart"/>
            <w:r w:rsidRPr="00587A67">
              <w:rPr>
                <w:rFonts w:eastAsia="Times New Roman" w:cs="Times New Roman"/>
                <w:color w:val="000000"/>
                <w:sz w:val="26"/>
                <w:szCs w:val="26"/>
              </w:rPr>
              <w:t>án</w:t>
            </w:r>
            <w:proofErr w:type="gramEnd"/>
            <w:r w:rsidRPr="00587A67">
              <w:rPr>
                <w:rFonts w:eastAsia="Times New Roman" w:cs="Times New Roman"/>
                <w:color w:val="000000"/>
                <w:sz w:val="26"/>
                <w:szCs w:val="26"/>
              </w:rPr>
              <w:t xml:space="preserve"> cải tạo, phục hồi môi trường trong khai thác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004148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xác nhận/đăng ký xác nhận lại kế hoạch bảo vệ môi trường.</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III</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Đo đạc, bản đồ và thông tin địa lý</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001923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Cung cấp thông tin, dữ liệu, sản phẩm đo đạc và bản đồ.</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000082</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Cấp, gia hạn, cấp lại, </w:t>
            </w:r>
            <w:proofErr w:type="gramStart"/>
            <w:r w:rsidRPr="00587A67">
              <w:rPr>
                <w:rFonts w:eastAsia="Times New Roman" w:cs="Times New Roman"/>
                <w:color w:val="000000"/>
                <w:sz w:val="26"/>
                <w:szCs w:val="26"/>
              </w:rPr>
              <w:t>cấp</w:t>
            </w:r>
            <w:proofErr w:type="gramEnd"/>
            <w:r w:rsidRPr="00587A67">
              <w:rPr>
                <w:rFonts w:eastAsia="Times New Roman" w:cs="Times New Roman"/>
                <w:color w:val="000000"/>
                <w:sz w:val="26"/>
                <w:szCs w:val="26"/>
              </w:rPr>
              <w:t xml:space="preserve"> đổi giấy phép hoạt động đo đạc và bản đồ (không thuộc đối tượng quy định tại điểm a Khoản 1 Điều 33 Nghị định số 27/2019/NĐ-CP ngày 13 tháng 3 năm 2019 của Chính phủ quy định chi tiết một số điều của Luật Đo đạc và bản đồ).</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000049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gia hạn, cấp lại, cấp đổi chứng chỉ hành nghề đo đạc và bản đồ hạng II</w:t>
            </w:r>
            <w:r w:rsidRPr="00587A67">
              <w:rPr>
                <w:rFonts w:eastAsia="Times New Roman" w:cs="Times New Roman"/>
                <w:i/>
                <w:iCs/>
                <w:color w:val="000000"/>
                <w:sz w:val="26"/>
                <w:szCs w:val="26"/>
              </w:rPr>
              <w: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IV</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Địa chất và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004434</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Đấu giá quyền khai thác khoáng sản ở khu vực chưa thăm dò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004083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Chấp thuận tiến hành khảo sát thực địa, lấy mẫu trên mặt đất để lựa chọn diện tích lập đề án thăm dò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004433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Đấu giá quyền khai thác khoáng sản ở khu vực đã có kết quả thăm dò khoáng sản được cơ quan nhà nước có thẩm quyền phê duyệt.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004264</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Tính tiền cấp quyền khai thác khoáng sản (đối với trường hợp Giấy phép khai thác khoáng sản đã được cấp trước ngày Nghị định 203/2013/NĐ-CP có hiệu lực).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000778</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thăm dò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004481</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giấy phép thăm dò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005408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Trả lại giấy phép thăm dò khoáng sản hoặc một phần diện tích thăm dò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001814</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Chuyển nhượng quyền thăm dò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004132</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Đăng ký khai thác khoáng sản vật liệu xây dựng thông thường trong diện tích dự án xây dựng công trình (đã được cơ quan nhà nước có </w:t>
            </w:r>
            <w:r w:rsidRPr="00587A67">
              <w:rPr>
                <w:rFonts w:eastAsia="Times New Roman" w:cs="Times New Roman"/>
                <w:color w:val="000000"/>
                <w:sz w:val="26"/>
                <w:szCs w:val="26"/>
              </w:rPr>
              <w:lastRenderedPageBreak/>
              <w:t>thẩm quyền phê duyệt hoặc cho phép đầu tư mà sản phẩm khai thác chỉ được sử dụng cho xây dựng công trình đó) bao gồm cả đăng ký khối lượng cát, sỏi thu hồi từ dự án nạo vét, khơi thông luồng lạch.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lastRenderedPageBreak/>
              <w:t>55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004446</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Cấp Giấy khai thác khoáng sản ở khu vực có dự </w:t>
            </w:r>
            <w:proofErr w:type="gramStart"/>
            <w:r w:rsidRPr="00587A67">
              <w:rPr>
                <w:rFonts w:eastAsia="Times New Roman" w:cs="Times New Roman"/>
                <w:color w:val="000000"/>
                <w:sz w:val="26"/>
                <w:szCs w:val="26"/>
              </w:rPr>
              <w:t>án</w:t>
            </w:r>
            <w:proofErr w:type="gramEnd"/>
            <w:r w:rsidRPr="00587A67">
              <w:rPr>
                <w:rFonts w:eastAsia="Times New Roman" w:cs="Times New Roman"/>
                <w:color w:val="000000"/>
                <w:sz w:val="26"/>
                <w:szCs w:val="26"/>
              </w:rPr>
              <w:t xml:space="preserve"> đầu tư xây dựng công trình.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56</w:t>
            </w:r>
          </w:p>
        </w:tc>
        <w:tc>
          <w:tcPr>
            <w:tcW w:w="1300"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khai thác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001783</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giấy phép khai thác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58</w:t>
            </w:r>
          </w:p>
        </w:tc>
        <w:tc>
          <w:tcPr>
            <w:tcW w:w="1300"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Điều chỉnh Giấy phép khai thác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004135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Trả lại Giấy phép khai thác khoáng sản, trả lại một phần diện tích khu vực khai thác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004345</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Chuyển nhượng quyền khai thác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001787</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Phê duyệt trữ lượng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001781</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khai thác tận thu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004343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Giấy phép khai thác tận thu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001777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Trả lại Giấy phép khai thác tận thu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004367</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Đóng cửa mỏ khoáng sản.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V</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tài nguyên nước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004232</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thăm dò nước dưới đất đối với công trình có lưu lượng dưới 3.000m</w:t>
            </w:r>
            <w:r w:rsidRPr="00587A67">
              <w:rPr>
                <w:rFonts w:eastAsia="Times New Roman" w:cs="Times New Roman"/>
                <w:color w:val="000000"/>
                <w:sz w:val="26"/>
                <w:szCs w:val="26"/>
                <w:vertAlign w:val="superscript"/>
              </w:rPr>
              <w:t>3</w:t>
            </w:r>
            <w:r w:rsidRPr="00587A67">
              <w:rPr>
                <w:rFonts w:eastAsia="Times New Roman" w:cs="Times New Roman"/>
                <w:color w:val="000000"/>
                <w:sz w:val="26"/>
                <w:szCs w:val="26"/>
              </w:rPr>
              <w:t>/ngày đêm.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004228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điều chỉnh nội dung giấy phép thăm dò nước dưới đất đối với công trình có lưu lượng dưới 3.000 m3/ ngày đêm.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004223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khai thác, sử dụng nước dưới đất đối với công trình có lưu lượng dưới 3.000m3/ngày đêm.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004211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điều chỉnh nội dung giấy phép khai thác, sử dụng nước dưới đất đối với công trình có lưu lượng dưới 3.000m3/ngày đêm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004179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004167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điều chỉnh nội dung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004152</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xả nước thải vào nguồn nước với lưu lượng dưới 30.000m3/ngày đêm đối với hoạt động nuôi trồng thủy sản; với lưu lượng dưới 3.000m3/ngày đêm đối với các hoạt động khác.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1.004140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Gia hạn, điều chỉnh nội dung giấy phép xả nước thải vào nguồn nước với lưu lượng dưới 30.000m3/ngày đêm đối với hoạt động nuôi trồng </w:t>
            </w:r>
            <w:r w:rsidRPr="00587A67">
              <w:rPr>
                <w:rFonts w:eastAsia="Times New Roman" w:cs="Times New Roman"/>
                <w:color w:val="000000"/>
                <w:sz w:val="26"/>
                <w:szCs w:val="26"/>
              </w:rPr>
              <w:lastRenderedPageBreak/>
              <w:t>thủy sản; với lưu lượng dưới 3.000m3/ngày đêm đối với các hoạt động khác.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lastRenderedPageBreak/>
              <w:t>74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000824</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lại Giấy phép tài nguyên nước.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004122</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hành nghề khoan nước dưới đất quy mô vừa và nhỏ</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001738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điều chỉnh nội dung Giấy phép hành nghề khoan nước dưới đất quy mô vừa và nhỏ.</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004253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lại giấy phép hành nghề khoan nước dưới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2.001850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Thẩm định, phê duyệt phương án cắm mốc giới hành lang bảo vệ nguồn nước đối với hồ chứa thủy lợi</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1.001740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Lấy ý kiến Ủy ban nhân dân cấp tỉnh đối với các dự </w:t>
            </w:r>
            <w:proofErr w:type="gramStart"/>
            <w:r w:rsidRPr="00587A67">
              <w:rPr>
                <w:rFonts w:eastAsia="Times New Roman" w:cs="Times New Roman"/>
                <w:color w:val="000000"/>
                <w:sz w:val="26"/>
                <w:szCs w:val="26"/>
              </w:rPr>
              <w:t>án</w:t>
            </w:r>
            <w:proofErr w:type="gramEnd"/>
            <w:r w:rsidRPr="00587A67">
              <w:rPr>
                <w:rFonts w:eastAsia="Times New Roman" w:cs="Times New Roman"/>
                <w:color w:val="000000"/>
                <w:sz w:val="26"/>
                <w:szCs w:val="26"/>
              </w:rPr>
              <w:t xml:space="preserve"> đầu tư có chuyển nước từ nguồn nước liên tỉnh, dự án đầu tư xây dựng hồ, đập trên dòng chính thuộc lưu vực sông liên tỉnh.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80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004283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Điều chỉnh tiền cấp quyền khai thác tài nguyên nước.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81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2.001770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Tính tiền cấp quyền khai thác tài nguyên nước đối với trường hợp tổ chức, cá nhân đã được cấp giấy phép trước ngày Nghị định số 82/2017/NĐ-CP có hiệu lực thi hành.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VI</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Khí tượng thuỷ văn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82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000987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phép hoạt động dự báo, cảnh báo khí tượng thủy văn.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83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1.000970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Sửa đổi, bổ sung, gia hạn giấy phép hoạt động dự báo, cảnh báo khí tượng thủy văn.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84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000943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lại giấy phép hoạt động dự báo, cảnh báo khí tượng thủy văn.</w:t>
            </w:r>
          </w:p>
        </w:tc>
      </w:tr>
      <w:tr w:rsidR="003B1EDE"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B1EDE" w:rsidRPr="00587A67" w:rsidRDefault="003B1EDE" w:rsidP="00587A67">
            <w:pPr>
              <w:spacing w:after="0" w:line="240" w:lineRule="auto"/>
              <w:jc w:val="center"/>
              <w:rPr>
                <w:rFonts w:eastAsia="Times New Roman" w:cs="Times New Roman"/>
                <w:b/>
                <w:bCs/>
                <w:color w:val="000000"/>
                <w:sz w:val="26"/>
                <w:szCs w:val="26"/>
              </w:rPr>
            </w:pPr>
            <w:r w:rsidRPr="00587A67">
              <w:rPr>
                <w:rFonts w:eastAsia="Times New Roman" w:cs="Times New Roman"/>
                <w:b/>
                <w:bCs/>
                <w:color w:val="000000"/>
                <w:sz w:val="26"/>
                <w:szCs w:val="26"/>
              </w:rPr>
              <w:t>B</w:t>
            </w:r>
          </w:p>
        </w:tc>
        <w:tc>
          <w:tcPr>
            <w:tcW w:w="8713" w:type="dxa"/>
            <w:gridSpan w:val="2"/>
            <w:tcBorders>
              <w:top w:val="nil"/>
              <w:left w:val="nil"/>
              <w:bottom w:val="single" w:sz="4" w:space="0" w:color="auto"/>
              <w:right w:val="single" w:sz="4" w:space="0" w:color="auto"/>
            </w:tcBorders>
            <w:shd w:val="clear" w:color="auto" w:fill="auto"/>
            <w:noWrap/>
            <w:vAlign w:val="center"/>
            <w:hideMark/>
          </w:tcPr>
          <w:p w:rsidR="003B1EDE" w:rsidRPr="00587A67" w:rsidRDefault="003B1EDE"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Cấp huyện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I</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Đất đai</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000395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Giải quyết tranh chấp đất đai thuộc thẩm quyền của Chủ tịch UBND cấp huyện.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001234</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Thẩm định nhu cầu sử dụng đất để xem xét giao đất, cho thuê đất không thông qua hình thức đấu giá quyền sử dụng đất đối với hộ gia đình, cá nhân, cộng đồng dân cư.</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000381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Thủ tục giao đất, cho thuê đất cho hộ gia đình, cá nhân; giao đất cho cộng đồng dân cư đối với trường hợp giao đất, cho thuê đất không thông qua hình thức đấu giá quyền sử dụng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000798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Thủ tục chuyển mục đích sử dụng đất phải được phép của cơ quan nhà nước có thẩm quyền đối với hộ gia đình.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000348</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quyền sử dụng đất lần đầu.</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002214</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đất đai lần đầu đối với trường hợp được Nhà nước giao đất để quản lý.</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003886</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Xóa đăng ký cho thuê, cho thuê lại, góp vốn bằng quyền sử dụng đất, quyền sở hữu tài sản gắn liền với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lastRenderedPageBreak/>
              <w:t>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003877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003855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003836</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Gia hạn sử dụng đất ngoài khu công nghệ cao, khu kinh tế.</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003013</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Xác nhận tiếp tục sử dụng đất nông nghiệp của hộ gia đình, cá nhân khi hết hạn sử dụng đất đối với trường hợp có nhu cầu.</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1.003000</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Tách thửa hoặc hợp thửa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13</w:t>
            </w:r>
          </w:p>
        </w:tc>
        <w:tc>
          <w:tcPr>
            <w:tcW w:w="1300"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1.004.199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đổi Giấy chứng nhận quyền sử dụng đất, quyền sở hữu nhà ở và tài sản khác gắn liền với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003572</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Chuyển đổi quyền sử dụng đất nông nghiệp của hộ gia đình, cá nhân.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002978</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Đính chính Giấy chứng nhận đã cấp.</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002969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Thu hồi Giấy chứng nhận đã cấp không đúng quy định của pháp luật đất đai do người sử dụng đất, chủ sở hữu tài sản gắn liền với đất phát hiện.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002335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và cấp giấy chứng nhận quyền sử dụng đất, quyền sở hữu nhà ở và tài sản khác gắn liền với đất lần đầu.</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18</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002314</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Giấy chứng nhận quyền sử dụng đất, quyền sở hữu nhà ở và tài sản khác gắn liền với đất cho người đã đăng ký quyền sử dụng đất lần đầu.</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19</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002291</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002277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thay đổi tài sản gắn liền với đất vào Giấy chứng nhận đã cấp.</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000955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cấp giấy chứng nhận quyền sử dụng đất, quyền sở hữu nhà ở và tài sản khác gắn liền với đất cho người nhận chuyển nhượng quyền sử dụng đất, mua đất, mua nhà ở, công trình xây dựng trong các dự án phát triển nhà ở.</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22</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003907</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23</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2.000410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Đăng ký biến động quyền sử dụng đất, quyền sở hữu tài sản gắn liền với đất trong các trường hợp chuyển nhượng, thừa kế, tặng cho, góp </w:t>
            </w:r>
            <w:r w:rsidRPr="00587A67">
              <w:rPr>
                <w:rFonts w:eastAsia="Times New Roman" w:cs="Times New Roman"/>
                <w:color w:val="000000"/>
                <w:sz w:val="26"/>
                <w:szCs w:val="26"/>
              </w:rPr>
              <w:lastRenderedPageBreak/>
              <w:t>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lastRenderedPageBreak/>
              <w:t>24</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000379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Bán hoặc góp vốn bằng tài sản gắn liền với đất thuê của Nhà nước theo hình thức thuê đất trả tiền hàng năm.</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25</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w:t>
            </w:r>
            <w:r w:rsidR="00BF35A5" w:rsidRPr="00587A67">
              <w:rPr>
                <w:rFonts w:eastAsia="Times New Roman" w:cs="Times New Roman"/>
                <w:color w:val="000000"/>
                <w:sz w:val="26"/>
                <w:szCs w:val="26"/>
              </w:rPr>
              <w:t>000365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26</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000755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BF35A5" w:rsidRPr="00BF35A5" w:rsidTr="00587A67">
        <w:trPr>
          <w:trHeight w:val="68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27</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1.003620</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Cấp lại Giấy chứng nhận hoặc cấp lại trang bổ sung của Giấy chứng nhận do bị mất</w:t>
            </w:r>
          </w:p>
        </w:tc>
      </w:tr>
      <w:tr w:rsidR="00BF35A5" w:rsidRPr="00BF35A5" w:rsidTr="00587A67">
        <w:trPr>
          <w:trHeight w:val="68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1.001045</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đối với trường hợp chuyển mục đích sử dụng đất không phải xin phép cơ quan nhà nước có thẩm quyền (cấp tỉnh - trường hợp đã thành lập VP đăng ký đất đai)</w:t>
            </w:r>
          </w:p>
        </w:tc>
      </w:tr>
      <w:tr w:rsidR="00BF35A5" w:rsidRPr="00BF35A5" w:rsidTr="00587A67">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28</w:t>
            </w:r>
          </w:p>
        </w:tc>
        <w:tc>
          <w:tcPr>
            <w:tcW w:w="1300" w:type="dxa"/>
            <w:tcBorders>
              <w:top w:val="nil"/>
              <w:left w:val="nil"/>
              <w:bottom w:val="single" w:sz="4" w:space="0" w:color="auto"/>
              <w:right w:val="single" w:sz="4" w:space="0" w:color="auto"/>
            </w:tcBorders>
            <w:shd w:val="clear" w:color="auto" w:fill="auto"/>
            <w:vAlign w:val="center"/>
            <w:hideMark/>
          </w:tcPr>
          <w:p w:rsidR="00BF35A5" w:rsidRPr="00587A67" w:rsidRDefault="00587A67"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1.001</w:t>
            </w:r>
            <w:r w:rsidR="00BF35A5" w:rsidRPr="00587A67">
              <w:rPr>
                <w:rFonts w:eastAsia="Times New Roman" w:cs="Times New Roman"/>
                <w:color w:val="000000"/>
                <w:sz w:val="26"/>
                <w:szCs w:val="26"/>
              </w:rPr>
              <w:t>009</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Chuyển nhượng vốn đầu tư là giá trị quyền sử dụng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II</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Môi trường</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29</w:t>
            </w:r>
          </w:p>
        </w:tc>
        <w:tc>
          <w:tcPr>
            <w:tcW w:w="1300"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Tham vấn ý kiến trong quá trình thực hiện đánh giá tác động môi trường.</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30</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004138</w:t>
            </w: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ký/đăng ký xác nhận lại kế hoạch bảo vệ môi trường.</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III</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Tài nguyên nước</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001662</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Đăng ký khai thác nước dưới đất.</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32</w:t>
            </w:r>
          </w:p>
        </w:tc>
        <w:tc>
          <w:tcPr>
            <w:tcW w:w="1300"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center"/>
              <w:rPr>
                <w:rFonts w:eastAsia="Times New Roman" w:cs="Times New Roman"/>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 xml:space="preserve">Lấy ý kiến Ủy ban nhân dân cấp xã đối với các dự </w:t>
            </w:r>
            <w:proofErr w:type="gramStart"/>
            <w:r w:rsidRPr="00587A67">
              <w:rPr>
                <w:rFonts w:eastAsia="Times New Roman" w:cs="Times New Roman"/>
                <w:color w:val="000000"/>
                <w:sz w:val="26"/>
                <w:szCs w:val="26"/>
              </w:rPr>
              <w:t>án</w:t>
            </w:r>
            <w:proofErr w:type="gramEnd"/>
            <w:r w:rsidRPr="00587A67">
              <w:rPr>
                <w:rFonts w:eastAsia="Times New Roman" w:cs="Times New Roman"/>
                <w:color w:val="000000"/>
                <w:sz w:val="26"/>
                <w:szCs w:val="26"/>
              </w:rPr>
              <w:t xml:space="preserve"> đầu tư có chuyển nước từ nguồn nước nội tỉnh.</w:t>
            </w:r>
          </w:p>
        </w:tc>
      </w:tr>
      <w:tr w:rsidR="003B1EDE"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B1EDE" w:rsidRPr="00587A67" w:rsidRDefault="003B1EDE" w:rsidP="00587A67">
            <w:pPr>
              <w:spacing w:after="0" w:line="240" w:lineRule="auto"/>
              <w:jc w:val="center"/>
              <w:rPr>
                <w:rFonts w:eastAsia="Times New Roman" w:cs="Times New Roman"/>
                <w:b/>
                <w:bCs/>
                <w:color w:val="000000"/>
                <w:sz w:val="26"/>
                <w:szCs w:val="26"/>
              </w:rPr>
            </w:pPr>
            <w:r w:rsidRPr="00587A67">
              <w:rPr>
                <w:rFonts w:eastAsia="Times New Roman" w:cs="Times New Roman"/>
                <w:b/>
                <w:bCs/>
                <w:color w:val="000000"/>
                <w:sz w:val="26"/>
                <w:szCs w:val="26"/>
              </w:rPr>
              <w:t>C</w:t>
            </w:r>
          </w:p>
        </w:tc>
        <w:tc>
          <w:tcPr>
            <w:tcW w:w="8713" w:type="dxa"/>
            <w:gridSpan w:val="2"/>
            <w:tcBorders>
              <w:top w:val="nil"/>
              <w:left w:val="nil"/>
              <w:bottom w:val="single" w:sz="4" w:space="0" w:color="auto"/>
              <w:right w:val="single" w:sz="4" w:space="0" w:color="auto"/>
            </w:tcBorders>
            <w:shd w:val="clear" w:color="auto" w:fill="auto"/>
            <w:noWrap/>
            <w:vAlign w:val="center"/>
            <w:hideMark/>
          </w:tcPr>
          <w:p w:rsidR="003B1EDE" w:rsidRPr="00587A67" w:rsidRDefault="003B1EDE"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Cấp xã</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b/>
                <w:color w:val="000000"/>
                <w:sz w:val="26"/>
                <w:szCs w:val="26"/>
              </w:rPr>
            </w:pPr>
            <w:r w:rsidRPr="00587A67">
              <w:rPr>
                <w:rFonts w:eastAsia="Times New Roman" w:cs="Times New Roman"/>
                <w:b/>
                <w:color w:val="000000"/>
                <w:sz w:val="26"/>
                <w:szCs w:val="26"/>
              </w:rPr>
              <w:t>I</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b/>
                <w:bCs/>
                <w:color w:val="000000"/>
                <w:sz w:val="26"/>
                <w:szCs w:val="26"/>
              </w:rPr>
            </w:pPr>
          </w:p>
        </w:tc>
        <w:tc>
          <w:tcPr>
            <w:tcW w:w="7413" w:type="dxa"/>
            <w:tcBorders>
              <w:top w:val="nil"/>
              <w:left w:val="nil"/>
              <w:bottom w:val="single" w:sz="4" w:space="0" w:color="auto"/>
              <w:right w:val="single" w:sz="4" w:space="0" w:color="auto"/>
            </w:tcBorders>
            <w:shd w:val="clear" w:color="auto" w:fill="auto"/>
            <w:vAlign w:val="center"/>
            <w:hideMark/>
          </w:tcPr>
          <w:p w:rsidR="00BF35A5" w:rsidRPr="00587A67" w:rsidRDefault="00BF35A5" w:rsidP="00587A67">
            <w:pPr>
              <w:spacing w:after="0" w:line="240" w:lineRule="auto"/>
              <w:jc w:val="both"/>
              <w:rPr>
                <w:rFonts w:eastAsia="Times New Roman" w:cs="Times New Roman"/>
                <w:b/>
                <w:bCs/>
                <w:color w:val="000000"/>
                <w:sz w:val="26"/>
                <w:szCs w:val="26"/>
              </w:rPr>
            </w:pPr>
            <w:r w:rsidRPr="00587A67">
              <w:rPr>
                <w:rFonts w:eastAsia="Times New Roman" w:cs="Times New Roman"/>
                <w:b/>
                <w:bCs/>
                <w:color w:val="000000"/>
                <w:sz w:val="26"/>
                <w:szCs w:val="26"/>
              </w:rPr>
              <w:t>Lĩnh vực: Đất đai</w:t>
            </w:r>
          </w:p>
        </w:tc>
      </w:tr>
      <w:tr w:rsidR="00BF35A5" w:rsidRPr="00BF35A5" w:rsidTr="00587A67">
        <w:trPr>
          <w:trHeight w:val="42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center"/>
            <w:hideMark/>
          </w:tcPr>
          <w:p w:rsidR="00BF35A5" w:rsidRPr="00587A67" w:rsidRDefault="003B1EDE" w:rsidP="00587A67">
            <w:pPr>
              <w:spacing w:after="0" w:line="240" w:lineRule="auto"/>
              <w:jc w:val="center"/>
              <w:rPr>
                <w:rFonts w:eastAsia="Times New Roman" w:cs="Times New Roman"/>
                <w:color w:val="000000"/>
                <w:sz w:val="26"/>
                <w:szCs w:val="26"/>
              </w:rPr>
            </w:pPr>
            <w:r w:rsidRPr="00587A67">
              <w:rPr>
                <w:rFonts w:eastAsia="Times New Roman" w:cs="Times New Roman"/>
                <w:color w:val="000000"/>
                <w:sz w:val="26"/>
                <w:szCs w:val="26"/>
              </w:rPr>
              <w:t>1.</w:t>
            </w:r>
            <w:r w:rsidR="00BF35A5" w:rsidRPr="00587A67">
              <w:rPr>
                <w:rFonts w:eastAsia="Times New Roman" w:cs="Times New Roman"/>
                <w:color w:val="000000"/>
                <w:sz w:val="26"/>
                <w:szCs w:val="26"/>
              </w:rPr>
              <w:t>003554</w:t>
            </w:r>
          </w:p>
        </w:tc>
        <w:tc>
          <w:tcPr>
            <w:tcW w:w="7413" w:type="dxa"/>
            <w:tcBorders>
              <w:top w:val="nil"/>
              <w:left w:val="nil"/>
              <w:bottom w:val="single" w:sz="4" w:space="0" w:color="auto"/>
              <w:right w:val="single" w:sz="4" w:space="0" w:color="auto"/>
            </w:tcBorders>
            <w:shd w:val="clear" w:color="auto" w:fill="auto"/>
            <w:noWrap/>
            <w:vAlign w:val="center"/>
            <w:hideMark/>
          </w:tcPr>
          <w:p w:rsidR="00BF35A5" w:rsidRPr="00587A67" w:rsidRDefault="00BF35A5" w:rsidP="00587A67">
            <w:pPr>
              <w:spacing w:after="0" w:line="240" w:lineRule="auto"/>
              <w:jc w:val="both"/>
              <w:rPr>
                <w:rFonts w:eastAsia="Times New Roman" w:cs="Times New Roman"/>
                <w:color w:val="000000"/>
                <w:sz w:val="26"/>
                <w:szCs w:val="26"/>
              </w:rPr>
            </w:pPr>
            <w:r w:rsidRPr="00587A67">
              <w:rPr>
                <w:rFonts w:eastAsia="Times New Roman" w:cs="Times New Roman"/>
                <w:color w:val="000000"/>
                <w:sz w:val="26"/>
                <w:szCs w:val="26"/>
              </w:rPr>
              <w:t>Hòa giải tranh chấp đất đai.</w:t>
            </w:r>
          </w:p>
        </w:tc>
      </w:tr>
    </w:tbl>
    <w:p w:rsidR="00BF35A5" w:rsidRDefault="00BF35A5" w:rsidP="00DC2C24">
      <w:pPr>
        <w:spacing w:after="0"/>
      </w:pPr>
    </w:p>
    <w:sectPr w:rsidR="00BF35A5" w:rsidSect="009C7072">
      <w:headerReference w:type="default" r:id="rId7"/>
      <w:headerReference w:type="firs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B0" w:rsidRDefault="004A32B0" w:rsidP="007B6B0F">
      <w:pPr>
        <w:spacing w:after="0" w:line="240" w:lineRule="auto"/>
      </w:pPr>
      <w:r>
        <w:separator/>
      </w:r>
    </w:p>
  </w:endnote>
  <w:endnote w:type="continuationSeparator" w:id="0">
    <w:p w:rsidR="004A32B0" w:rsidRDefault="004A32B0" w:rsidP="007B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B0" w:rsidRDefault="004A32B0" w:rsidP="007B6B0F">
      <w:pPr>
        <w:spacing w:after="0" w:line="240" w:lineRule="auto"/>
      </w:pPr>
      <w:r>
        <w:separator/>
      </w:r>
    </w:p>
  </w:footnote>
  <w:footnote w:type="continuationSeparator" w:id="0">
    <w:p w:rsidR="004A32B0" w:rsidRDefault="004A32B0" w:rsidP="007B6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353552"/>
      <w:docPartObj>
        <w:docPartGallery w:val="Page Numbers (Top of Page)"/>
        <w:docPartUnique/>
      </w:docPartObj>
    </w:sdtPr>
    <w:sdtEndPr>
      <w:rPr>
        <w:noProof/>
      </w:rPr>
    </w:sdtEndPr>
    <w:sdtContent>
      <w:p w:rsidR="009C7072" w:rsidRDefault="009C7072" w:rsidP="009C7072">
        <w:pPr>
          <w:pStyle w:val="Header"/>
          <w:jc w:val="center"/>
        </w:pPr>
        <w:r>
          <w:fldChar w:fldCharType="begin"/>
        </w:r>
        <w:r>
          <w:instrText xml:space="preserve"> PAGE   \* MERGEFORMAT </w:instrText>
        </w:r>
        <w:r>
          <w:fldChar w:fldCharType="separate"/>
        </w:r>
        <w:r w:rsidR="000B2944">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72" w:rsidRDefault="009C7072" w:rsidP="009C70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33"/>
    <w:rsid w:val="000B2944"/>
    <w:rsid w:val="00103D9F"/>
    <w:rsid w:val="00224554"/>
    <w:rsid w:val="00234EB6"/>
    <w:rsid w:val="002C5A36"/>
    <w:rsid w:val="003B1EDE"/>
    <w:rsid w:val="004A32B0"/>
    <w:rsid w:val="00560F27"/>
    <w:rsid w:val="005748CE"/>
    <w:rsid w:val="00587A67"/>
    <w:rsid w:val="006A6B2A"/>
    <w:rsid w:val="006E3F2E"/>
    <w:rsid w:val="00792E5E"/>
    <w:rsid w:val="007B6B0F"/>
    <w:rsid w:val="00870F84"/>
    <w:rsid w:val="008A088D"/>
    <w:rsid w:val="008E2CCC"/>
    <w:rsid w:val="009A7815"/>
    <w:rsid w:val="009B1A1F"/>
    <w:rsid w:val="009B5F14"/>
    <w:rsid w:val="009C7072"/>
    <w:rsid w:val="009F6D1C"/>
    <w:rsid w:val="00A200C1"/>
    <w:rsid w:val="00B71FC5"/>
    <w:rsid w:val="00BB32EB"/>
    <w:rsid w:val="00BB3B24"/>
    <w:rsid w:val="00BF318B"/>
    <w:rsid w:val="00BF35A5"/>
    <w:rsid w:val="00CA5D33"/>
    <w:rsid w:val="00CD74C8"/>
    <w:rsid w:val="00CE1D68"/>
    <w:rsid w:val="00D47EC2"/>
    <w:rsid w:val="00D5269A"/>
    <w:rsid w:val="00D62304"/>
    <w:rsid w:val="00D93269"/>
    <w:rsid w:val="00D95DF6"/>
    <w:rsid w:val="00DC2C24"/>
    <w:rsid w:val="00E5579A"/>
    <w:rsid w:val="00F9049E"/>
    <w:rsid w:val="00FD3A9C"/>
    <w:rsid w:val="00FE65A4"/>
    <w:rsid w:val="00FF10BF"/>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3DC7B-E444-4ED1-B9BB-8CF4CCB6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B0F"/>
  </w:style>
  <w:style w:type="paragraph" w:styleId="Footer">
    <w:name w:val="footer"/>
    <w:basedOn w:val="Normal"/>
    <w:link w:val="FooterChar"/>
    <w:uiPriority w:val="99"/>
    <w:unhideWhenUsed/>
    <w:rsid w:val="007B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8732">
      <w:bodyDiv w:val="1"/>
      <w:marLeft w:val="0"/>
      <w:marRight w:val="0"/>
      <w:marTop w:val="0"/>
      <w:marBottom w:val="0"/>
      <w:divBdr>
        <w:top w:val="none" w:sz="0" w:space="0" w:color="auto"/>
        <w:left w:val="none" w:sz="0" w:space="0" w:color="auto"/>
        <w:bottom w:val="none" w:sz="0" w:space="0" w:color="auto"/>
        <w:right w:val="none" w:sz="0" w:space="0" w:color="auto"/>
      </w:divBdr>
    </w:div>
    <w:div w:id="177500038">
      <w:bodyDiv w:val="1"/>
      <w:marLeft w:val="0"/>
      <w:marRight w:val="0"/>
      <w:marTop w:val="0"/>
      <w:marBottom w:val="0"/>
      <w:divBdr>
        <w:top w:val="none" w:sz="0" w:space="0" w:color="auto"/>
        <w:left w:val="none" w:sz="0" w:space="0" w:color="auto"/>
        <w:bottom w:val="none" w:sz="0" w:space="0" w:color="auto"/>
        <w:right w:val="none" w:sz="0" w:space="0" w:color="auto"/>
      </w:divBdr>
    </w:div>
    <w:div w:id="19362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3C42-D389-43A4-A331-DE546360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TTPVHCC</dc:creator>
  <cp:keywords/>
  <dc:description/>
  <cp:lastModifiedBy>TTPVHCC</cp:lastModifiedBy>
  <cp:revision>9</cp:revision>
  <dcterms:created xsi:type="dcterms:W3CDTF">2021-04-04T00:45:00Z</dcterms:created>
  <dcterms:modified xsi:type="dcterms:W3CDTF">2021-04-08T03:56:00Z</dcterms:modified>
</cp:coreProperties>
</file>